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81" w:rsidRPr="00480F91" w:rsidRDefault="00FC02BA" w:rsidP="00EA7E7A">
      <w:pPr>
        <w:spacing w:after="0" w:line="240" w:lineRule="auto"/>
        <w:ind w:left="5760" w:firstLine="720"/>
        <w:rPr>
          <w:sz w:val="20"/>
          <w:szCs w:val="20"/>
        </w:rPr>
      </w:pPr>
      <w:bookmarkStart w:id="0" w:name="_GoBack"/>
      <w:bookmarkEnd w:id="0"/>
      <w:r>
        <w:rPr>
          <w:b/>
          <w:i/>
          <w:sz w:val="24"/>
          <w:szCs w:val="24"/>
        </w:rPr>
        <w:t xml:space="preserve">   </w:t>
      </w:r>
      <w:r w:rsidR="00EA7E7A">
        <w:rPr>
          <w:sz w:val="20"/>
          <w:szCs w:val="20"/>
        </w:rPr>
        <w:tab/>
      </w:r>
      <w:r w:rsidR="00EA7E7A">
        <w:rPr>
          <w:sz w:val="20"/>
          <w:szCs w:val="20"/>
        </w:rPr>
        <w:tab/>
      </w:r>
      <w:r w:rsidR="00EA7E7A">
        <w:rPr>
          <w:sz w:val="20"/>
          <w:szCs w:val="20"/>
        </w:rPr>
        <w:tab/>
      </w:r>
      <w:r w:rsidR="00EA7E7A">
        <w:rPr>
          <w:sz w:val="20"/>
          <w:szCs w:val="20"/>
        </w:rPr>
        <w:tab/>
      </w:r>
      <w:r w:rsidR="00EA7E7A">
        <w:rPr>
          <w:sz w:val="20"/>
          <w:szCs w:val="20"/>
        </w:rPr>
        <w:tab/>
      </w:r>
      <w:r>
        <w:rPr>
          <w:sz w:val="20"/>
          <w:szCs w:val="20"/>
        </w:rPr>
        <w:t xml:space="preserve">                                                </w:t>
      </w:r>
      <w:r w:rsidR="00EA7E7A">
        <w:rPr>
          <w:noProof/>
        </w:rPr>
        <w:drawing>
          <wp:inline distT="0" distB="0" distL="0" distR="0" wp14:anchorId="631EEB32" wp14:editId="3431CB3C">
            <wp:extent cx="1657350" cy="5238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57350" cy="523875"/>
                    </a:xfrm>
                    <a:prstGeom prst="rect">
                      <a:avLst/>
                    </a:prstGeom>
                    <a:noFill/>
                    <a:ln w="9525">
                      <a:noFill/>
                      <a:miter lim="800000"/>
                      <a:headEnd/>
                      <a:tailEnd/>
                    </a:ln>
                  </pic:spPr>
                </pic:pic>
              </a:graphicData>
            </a:graphic>
          </wp:inline>
        </w:drawing>
      </w:r>
    </w:p>
    <w:p w:rsidR="002A761B" w:rsidRPr="00480F91" w:rsidRDefault="002A761B" w:rsidP="002A761B">
      <w:pPr>
        <w:spacing w:after="0" w:line="240" w:lineRule="auto"/>
        <w:rPr>
          <w:sz w:val="20"/>
          <w:szCs w:val="20"/>
        </w:rPr>
      </w:pPr>
    </w:p>
    <w:tbl>
      <w:tblPr>
        <w:tblW w:w="15135" w:type="dxa"/>
        <w:tblInd w:w="93" w:type="dxa"/>
        <w:tblLayout w:type="fixed"/>
        <w:tblLook w:val="04A0" w:firstRow="1" w:lastRow="0" w:firstColumn="1" w:lastColumn="0" w:noHBand="0" w:noVBand="1"/>
      </w:tblPr>
      <w:tblGrid>
        <w:gridCol w:w="644"/>
        <w:gridCol w:w="271"/>
        <w:gridCol w:w="1260"/>
        <w:gridCol w:w="72"/>
        <w:gridCol w:w="1890"/>
        <w:gridCol w:w="18"/>
        <w:gridCol w:w="1260"/>
        <w:gridCol w:w="162"/>
        <w:gridCol w:w="18"/>
        <w:gridCol w:w="360"/>
        <w:gridCol w:w="540"/>
        <w:gridCol w:w="450"/>
        <w:gridCol w:w="360"/>
        <w:gridCol w:w="90"/>
        <w:gridCol w:w="38"/>
        <w:gridCol w:w="772"/>
        <w:gridCol w:w="1710"/>
        <w:gridCol w:w="450"/>
        <w:gridCol w:w="1080"/>
        <w:gridCol w:w="720"/>
        <w:gridCol w:w="90"/>
        <w:gridCol w:w="2880"/>
      </w:tblGrid>
      <w:tr w:rsidR="002C514C" w:rsidRPr="00C75FF4" w:rsidTr="00B74398">
        <w:trPr>
          <w:trHeight w:val="665"/>
        </w:trPr>
        <w:tc>
          <w:tcPr>
            <w:tcW w:w="644" w:type="dxa"/>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C75FF4" w:rsidRPr="00C75FF4" w:rsidRDefault="00C75FF4" w:rsidP="00480F91">
            <w:pPr>
              <w:spacing w:after="0" w:line="240" w:lineRule="auto"/>
              <w:jc w:val="right"/>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480F91">
            <w:pPr>
              <w:spacing w:after="0" w:line="240" w:lineRule="auto"/>
              <w:jc w:val="right"/>
              <w:rPr>
                <w:rFonts w:ascii="Calibri" w:eastAsia="Times New Roman" w:hAnsi="Calibri" w:cs="Calibri"/>
                <w:b/>
                <w:bCs/>
                <w:color w:val="000000"/>
                <w:sz w:val="20"/>
                <w:szCs w:val="20"/>
              </w:rPr>
            </w:pPr>
          </w:p>
        </w:tc>
        <w:tc>
          <w:tcPr>
            <w:tcW w:w="1332" w:type="dxa"/>
            <w:gridSpan w:val="2"/>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Agent</w:t>
            </w:r>
          </w:p>
        </w:tc>
        <w:tc>
          <w:tcPr>
            <w:tcW w:w="189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Clearance</w:t>
            </w:r>
          </w:p>
        </w:tc>
        <w:tc>
          <w:tcPr>
            <w:tcW w:w="1856" w:type="dxa"/>
            <w:gridSpan w:val="7"/>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480F91" w:rsidP="00C75FF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Usual Half Lif</w:t>
            </w:r>
            <w:r w:rsidR="00C75FF4" w:rsidRPr="00C75FF4">
              <w:rPr>
                <w:rFonts w:ascii="Calibri" w:eastAsia="Times New Roman" w:hAnsi="Calibri" w:cs="Calibri"/>
                <w:b/>
                <w:bCs/>
                <w:color w:val="000000"/>
                <w:sz w:val="20"/>
                <w:szCs w:val="20"/>
              </w:rPr>
              <w:t xml:space="preserve">e </w:t>
            </w:r>
            <w:r>
              <w:rPr>
                <w:rFonts w:ascii="Calibri" w:eastAsia="Times New Roman" w:hAnsi="Calibri" w:cs="Calibri"/>
                <w:b/>
                <w:bCs/>
                <w:color w:val="000000"/>
                <w:sz w:val="20"/>
                <w:szCs w:val="20"/>
              </w:rPr>
              <w:t>(t</w:t>
            </w:r>
            <w:r w:rsidRPr="00480F91">
              <w:rPr>
                <w:rFonts w:ascii="Calibri" w:eastAsia="Times New Roman" w:hAnsi="Calibri" w:cs="Calibri"/>
                <w:b/>
                <w:bCs/>
                <w:color w:val="000000"/>
                <w:sz w:val="20"/>
                <w:szCs w:val="20"/>
                <w:vertAlign w:val="subscript"/>
              </w:rPr>
              <w:t>1/2</w:t>
            </w:r>
            <w:r>
              <w:rPr>
                <w:rFonts w:ascii="Calibri" w:eastAsia="Times New Roman" w:hAnsi="Calibri" w:cs="Calibri"/>
                <w:b/>
                <w:bCs/>
                <w:color w:val="000000"/>
                <w:sz w:val="20"/>
                <w:szCs w:val="20"/>
              </w:rPr>
              <w:t xml:space="preserve">) </w:t>
            </w:r>
            <w:r w:rsidR="00C75FF4" w:rsidRPr="00C75FF4">
              <w:rPr>
                <w:rFonts w:ascii="Calibri" w:eastAsia="Times New Roman" w:hAnsi="Calibri" w:cs="Calibri"/>
                <w:b/>
                <w:bCs/>
                <w:color w:val="000000"/>
                <w:sz w:val="20"/>
                <w:szCs w:val="20"/>
              </w:rPr>
              <w:t>&amp; Duration of Effect</w:t>
            </w:r>
          </w:p>
        </w:tc>
        <w:tc>
          <w:tcPr>
            <w:tcW w:w="2932" w:type="dxa"/>
            <w:gridSpan w:val="3"/>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Most Common Indications</w:t>
            </w:r>
          </w:p>
        </w:tc>
        <w:tc>
          <w:tcPr>
            <w:tcW w:w="180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Monitoring Methods</w:t>
            </w:r>
          </w:p>
        </w:tc>
        <w:tc>
          <w:tcPr>
            <w:tcW w:w="297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Strategies for Rapid Reversal and/or Hemostatic Correction</w:t>
            </w:r>
          </w:p>
        </w:tc>
      </w:tr>
      <w:tr w:rsidR="002C514C" w:rsidRPr="00C75FF4" w:rsidTr="00B74398">
        <w:trPr>
          <w:trHeight w:val="1870"/>
        </w:trPr>
        <w:tc>
          <w:tcPr>
            <w:tcW w:w="644" w:type="dxa"/>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C75FF4" w:rsidRPr="00C75FF4" w:rsidRDefault="00C75FF4"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Direct Thrombin Inhibitors</w:t>
            </w:r>
          </w:p>
        </w:tc>
        <w:tc>
          <w:tcPr>
            <w:tcW w:w="271"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btLr"/>
            <w:vAlign w:val="center"/>
            <w:hideMark/>
          </w:tcPr>
          <w:p w:rsidR="00C75FF4" w:rsidRPr="00C75FF4" w:rsidRDefault="00C75FF4"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Parenteral</w:t>
            </w:r>
          </w:p>
        </w:tc>
        <w:tc>
          <w:tcPr>
            <w:tcW w:w="1332" w:type="dxa"/>
            <w:gridSpan w:val="2"/>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vertAlign w:val="superscript"/>
              </w:rPr>
            </w:pPr>
            <w:proofErr w:type="spellStart"/>
            <w:r w:rsidRPr="00407A6C">
              <w:rPr>
                <w:rFonts w:ascii="Calibri" w:eastAsia="Times New Roman" w:hAnsi="Calibri" w:cs="Calibri"/>
                <w:color w:val="000000"/>
                <w:sz w:val="17"/>
                <w:szCs w:val="17"/>
              </w:rPr>
              <w:t>Argatroban</w:t>
            </w:r>
            <w:proofErr w:type="spellEnd"/>
            <w:r w:rsidRPr="00407A6C">
              <w:rPr>
                <w:rFonts w:ascii="Calibri" w:eastAsia="Times New Roman" w:hAnsi="Calibri" w:cs="Calibri"/>
                <w:color w:val="000000"/>
                <w:sz w:val="17"/>
                <w:szCs w:val="17"/>
              </w:rPr>
              <w:t xml:space="preserve"> (</w:t>
            </w:r>
            <w:proofErr w:type="spellStart"/>
            <w:r w:rsidRPr="00407A6C">
              <w:rPr>
                <w:rFonts w:ascii="Calibri" w:eastAsia="Times New Roman" w:hAnsi="Calibri" w:cs="Calibri"/>
                <w:color w:val="000000"/>
                <w:sz w:val="17"/>
                <w:szCs w:val="17"/>
              </w:rPr>
              <w:t>Argatroban</w:t>
            </w:r>
            <w:proofErr w:type="spellEnd"/>
            <w:r w:rsidRPr="00407A6C">
              <w:rPr>
                <w:rFonts w:ascii="Calibri" w:eastAsia="Times New Roman" w:hAnsi="Calibri" w:cs="Calibri"/>
                <w:color w:val="000000"/>
                <w:sz w:val="17"/>
                <w:szCs w:val="17"/>
              </w:rPr>
              <w:t xml:space="preserve">) </w:t>
            </w:r>
            <w:r w:rsidRPr="00407A6C">
              <w:rPr>
                <w:rFonts w:ascii="Calibri" w:eastAsia="Times New Roman" w:hAnsi="Calibri" w:cs="Calibri"/>
                <w:color w:val="000000"/>
                <w:sz w:val="17"/>
                <w:szCs w:val="17"/>
                <w:vertAlign w:val="superscript"/>
              </w:rPr>
              <w:t>5,6</w:t>
            </w:r>
          </w:p>
          <w:p w:rsidR="00AC52A0" w:rsidRPr="00407A6C" w:rsidRDefault="00AC52A0" w:rsidP="00C75FF4">
            <w:pPr>
              <w:spacing w:after="0" w:line="240" w:lineRule="auto"/>
              <w:rPr>
                <w:rFonts w:ascii="Calibri" w:eastAsia="Times New Roman" w:hAnsi="Calibri" w:cs="Calibri"/>
                <w:color w:val="000000"/>
                <w:sz w:val="17"/>
                <w:szCs w:val="17"/>
              </w:rPr>
            </w:pPr>
          </w:p>
          <w:p w:rsidR="00AC52A0" w:rsidRPr="00407A6C" w:rsidRDefault="00AC52A0" w:rsidP="00C75FF4">
            <w:pPr>
              <w:spacing w:after="0" w:line="240" w:lineRule="auto"/>
              <w:rPr>
                <w:rFonts w:ascii="Calibri" w:eastAsia="Times New Roman" w:hAnsi="Calibri" w:cs="Calibri"/>
                <w:color w:val="000000"/>
                <w:sz w:val="17"/>
                <w:szCs w:val="17"/>
              </w:rPr>
            </w:pPr>
          </w:p>
          <w:p w:rsidR="00A94F18" w:rsidRPr="00407A6C" w:rsidRDefault="00A94F18" w:rsidP="00C75FF4">
            <w:pPr>
              <w:spacing w:after="0" w:line="240" w:lineRule="auto"/>
              <w:rPr>
                <w:rFonts w:ascii="Calibri" w:eastAsia="Times New Roman" w:hAnsi="Calibri" w:cs="Calibri"/>
                <w:color w:val="000000"/>
                <w:sz w:val="17"/>
                <w:szCs w:val="17"/>
              </w:rPr>
            </w:pPr>
          </w:p>
          <w:p w:rsidR="00C82D74" w:rsidRDefault="00C82D74"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D42973" w:rsidRPr="00407A6C" w:rsidRDefault="00D42973" w:rsidP="00C75FF4">
            <w:pPr>
              <w:spacing w:after="0" w:line="240" w:lineRule="auto"/>
              <w:rPr>
                <w:rFonts w:ascii="Calibri" w:eastAsia="Times New Roman" w:hAnsi="Calibri" w:cs="Calibri"/>
                <w:color w:val="000000"/>
                <w:sz w:val="17"/>
                <w:szCs w:val="17"/>
              </w:rPr>
            </w:pPr>
          </w:p>
          <w:p w:rsidR="00AC52A0" w:rsidRPr="00407A6C" w:rsidRDefault="00AC52A0" w:rsidP="00C75FF4">
            <w:pPr>
              <w:spacing w:after="0" w:line="240" w:lineRule="auto"/>
              <w:rPr>
                <w:rFonts w:ascii="Calibri" w:eastAsia="Times New Roman" w:hAnsi="Calibri" w:cs="Calibri"/>
                <w:color w:val="000000"/>
                <w:sz w:val="17"/>
                <w:szCs w:val="17"/>
              </w:rPr>
            </w:pPr>
          </w:p>
          <w:p w:rsidR="00AC52A0" w:rsidRPr="00407A6C" w:rsidRDefault="00AC52A0" w:rsidP="00C75FF4">
            <w:pPr>
              <w:spacing w:after="0" w:line="240" w:lineRule="auto"/>
              <w:rPr>
                <w:rFonts w:ascii="Calibri" w:eastAsia="Times New Roman" w:hAnsi="Calibri" w:cs="Calibri"/>
                <w:color w:val="000000"/>
                <w:sz w:val="17"/>
                <w:szCs w:val="17"/>
              </w:rPr>
            </w:pPr>
          </w:p>
        </w:tc>
        <w:tc>
          <w:tcPr>
            <w:tcW w:w="1890" w:type="dxa"/>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Directly inhibits soluble &amp; clot-bound thrombin by binding reversibly to its active site</w:t>
            </w:r>
          </w:p>
          <w:p w:rsidR="00AC52A0" w:rsidRPr="00407A6C" w:rsidRDefault="00AC52A0" w:rsidP="00C75FF4">
            <w:pPr>
              <w:spacing w:after="0" w:line="240" w:lineRule="auto"/>
              <w:rPr>
                <w:rFonts w:ascii="Calibri" w:eastAsia="Times New Roman" w:hAnsi="Calibri" w:cs="Calibri"/>
                <w:color w:val="000000"/>
                <w:sz w:val="17"/>
                <w:szCs w:val="17"/>
              </w:rPr>
            </w:pPr>
          </w:p>
          <w:p w:rsidR="00C82D74" w:rsidRDefault="00C82D74"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AC52A0" w:rsidRPr="00407A6C" w:rsidRDefault="00AC52A0" w:rsidP="00C75FF4">
            <w:pPr>
              <w:spacing w:after="0" w:line="240" w:lineRule="auto"/>
              <w:rPr>
                <w:rFonts w:ascii="Calibri" w:eastAsia="Times New Roman" w:hAnsi="Calibri" w:cs="Calibri"/>
                <w:color w:val="000000"/>
                <w:sz w:val="17"/>
                <w:szCs w:val="17"/>
              </w:rPr>
            </w:pPr>
          </w:p>
          <w:p w:rsidR="00D42973" w:rsidRPr="00407A6C" w:rsidRDefault="00D42973" w:rsidP="00C75FF4">
            <w:pPr>
              <w:spacing w:after="0" w:line="240" w:lineRule="auto"/>
              <w:rPr>
                <w:rFonts w:ascii="Calibri" w:eastAsia="Times New Roman" w:hAnsi="Calibri" w:cs="Calibri"/>
                <w:color w:val="000000"/>
                <w:sz w:val="17"/>
                <w:szCs w:val="17"/>
              </w:rPr>
            </w:pPr>
          </w:p>
          <w:p w:rsidR="00AC52A0" w:rsidRPr="00407A6C" w:rsidRDefault="00AC52A0"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Hepatic (bilirubin is the best indicator of clearance)</w:t>
            </w:r>
          </w:p>
          <w:p w:rsidR="00AC52A0" w:rsidRPr="00407A6C" w:rsidRDefault="00AC52A0" w:rsidP="00C75FF4">
            <w:pPr>
              <w:spacing w:after="0" w:line="240" w:lineRule="auto"/>
              <w:rPr>
                <w:rFonts w:ascii="Calibri" w:eastAsia="Times New Roman" w:hAnsi="Calibri" w:cs="Calibri"/>
                <w:color w:val="000000"/>
                <w:sz w:val="17"/>
                <w:szCs w:val="17"/>
              </w:rPr>
            </w:pPr>
          </w:p>
          <w:p w:rsidR="008139D4" w:rsidRPr="00407A6C" w:rsidRDefault="008139D4" w:rsidP="00C75FF4">
            <w:pPr>
              <w:spacing w:after="0" w:line="240" w:lineRule="auto"/>
              <w:rPr>
                <w:rFonts w:ascii="Calibri" w:eastAsia="Times New Roman" w:hAnsi="Calibri" w:cs="Calibri"/>
                <w:color w:val="000000"/>
                <w:sz w:val="17"/>
                <w:szCs w:val="17"/>
              </w:rPr>
            </w:pPr>
          </w:p>
          <w:p w:rsidR="00C82D74" w:rsidRPr="00407A6C" w:rsidRDefault="00C82D74" w:rsidP="00C75FF4">
            <w:pPr>
              <w:spacing w:after="0" w:line="240" w:lineRule="auto"/>
              <w:rPr>
                <w:rFonts w:ascii="Calibri" w:eastAsia="Times New Roman" w:hAnsi="Calibri" w:cs="Calibri"/>
                <w:color w:val="000000"/>
                <w:sz w:val="17"/>
                <w:szCs w:val="17"/>
              </w:rPr>
            </w:pPr>
          </w:p>
          <w:p w:rsidR="00D42973" w:rsidRPr="00407A6C" w:rsidRDefault="00D42973" w:rsidP="00C75FF4">
            <w:pPr>
              <w:spacing w:after="0" w:line="240" w:lineRule="auto"/>
              <w:rPr>
                <w:rFonts w:ascii="Calibri" w:eastAsia="Times New Roman" w:hAnsi="Calibri" w:cs="Calibri"/>
                <w:color w:val="000000"/>
                <w:sz w:val="17"/>
                <w:szCs w:val="17"/>
              </w:rPr>
            </w:pPr>
          </w:p>
          <w:p w:rsidR="008139D4" w:rsidRPr="00407A6C" w:rsidRDefault="008139D4" w:rsidP="00C75FF4">
            <w:pPr>
              <w:spacing w:after="0" w:line="240" w:lineRule="auto"/>
              <w:rPr>
                <w:rFonts w:ascii="Calibri" w:eastAsia="Times New Roman" w:hAnsi="Calibri" w:cs="Calibri"/>
                <w:color w:val="000000"/>
                <w:sz w:val="17"/>
                <w:szCs w:val="17"/>
              </w:rPr>
            </w:pPr>
          </w:p>
          <w:p w:rsidR="008139D4" w:rsidRPr="00407A6C" w:rsidRDefault="008139D4" w:rsidP="00C75FF4">
            <w:pPr>
              <w:spacing w:after="0" w:line="240" w:lineRule="auto"/>
              <w:rPr>
                <w:rFonts w:ascii="Calibri" w:eastAsia="Times New Roman" w:hAnsi="Calibri" w:cs="Calibri"/>
                <w:color w:val="000000"/>
                <w:sz w:val="17"/>
                <w:szCs w:val="17"/>
              </w:rPr>
            </w:pPr>
          </w:p>
        </w:tc>
        <w:tc>
          <w:tcPr>
            <w:tcW w:w="1856" w:type="dxa"/>
            <w:gridSpan w:val="7"/>
            <w:tcBorders>
              <w:top w:val="nil"/>
              <w:left w:val="nil"/>
              <w:bottom w:val="single" w:sz="4" w:space="0" w:color="auto"/>
              <w:right w:val="single" w:sz="4" w:space="0" w:color="auto"/>
            </w:tcBorders>
            <w:shd w:val="clear" w:color="auto" w:fill="auto"/>
            <w:vAlign w:val="bottom"/>
            <w:hideMark/>
          </w:tcPr>
          <w:p w:rsidR="00AB2019"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t </w:t>
            </w:r>
            <w:r w:rsidRPr="00407A6C">
              <w:rPr>
                <w:rFonts w:ascii="Calibri" w:eastAsia="Times New Roman" w:hAnsi="Calibri" w:cs="Calibri"/>
                <w:color w:val="000000"/>
                <w:sz w:val="17"/>
                <w:szCs w:val="17"/>
                <w:vertAlign w:val="subscript"/>
              </w:rPr>
              <w:t>1/2</w:t>
            </w:r>
            <w:r w:rsidRPr="00407A6C">
              <w:rPr>
                <w:rFonts w:ascii="Calibri" w:eastAsia="Times New Roman" w:hAnsi="Calibri" w:cs="Calibri"/>
                <w:color w:val="000000"/>
                <w:sz w:val="17"/>
                <w:szCs w:val="17"/>
              </w:rPr>
              <w:t>: 30 to 50 minutes</w:t>
            </w:r>
          </w:p>
          <w:p w:rsidR="00AC52A0" w:rsidRPr="00407A6C" w:rsidRDefault="00C75FF4" w:rsidP="00AC52A0">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Duration: </w:t>
            </w:r>
            <w:proofErr w:type="spellStart"/>
            <w:r w:rsidRPr="00407A6C">
              <w:rPr>
                <w:rFonts w:ascii="Calibri" w:eastAsia="Times New Roman" w:hAnsi="Calibri" w:cs="Calibri"/>
                <w:color w:val="000000"/>
                <w:sz w:val="17"/>
                <w:szCs w:val="17"/>
              </w:rPr>
              <w:t>approx</w:t>
            </w:r>
            <w:proofErr w:type="spellEnd"/>
            <w:r w:rsidRPr="00407A6C">
              <w:rPr>
                <w:rFonts w:ascii="Calibri" w:eastAsia="Times New Roman" w:hAnsi="Calibri" w:cs="Calibri"/>
                <w:color w:val="000000"/>
                <w:sz w:val="17"/>
                <w:szCs w:val="17"/>
              </w:rPr>
              <w:t xml:space="preserve"> 2 hours after end of infusion</w:t>
            </w:r>
          </w:p>
          <w:p w:rsidR="001F1CE5" w:rsidRPr="00407A6C" w:rsidRDefault="001F1CE5" w:rsidP="001F1CE5">
            <w:pPr>
              <w:spacing w:after="0" w:line="240" w:lineRule="auto"/>
              <w:rPr>
                <w:rFonts w:ascii="Calibri" w:eastAsia="Times New Roman" w:hAnsi="Calibri" w:cs="Calibri"/>
                <w:color w:val="000000"/>
                <w:sz w:val="17"/>
                <w:szCs w:val="17"/>
              </w:rPr>
            </w:pPr>
          </w:p>
          <w:p w:rsidR="00D42973" w:rsidRPr="00407A6C" w:rsidRDefault="00D42973" w:rsidP="001F1CE5">
            <w:pPr>
              <w:spacing w:after="0" w:line="240" w:lineRule="auto"/>
              <w:rPr>
                <w:rFonts w:ascii="Calibri" w:eastAsia="Times New Roman" w:hAnsi="Calibri" w:cs="Calibri"/>
                <w:color w:val="000000"/>
                <w:sz w:val="17"/>
                <w:szCs w:val="17"/>
              </w:rPr>
            </w:pPr>
          </w:p>
          <w:p w:rsidR="00C82D74" w:rsidRPr="00407A6C" w:rsidRDefault="00C82D74" w:rsidP="001F1CE5">
            <w:pPr>
              <w:spacing w:after="0" w:line="240" w:lineRule="auto"/>
              <w:rPr>
                <w:rFonts w:ascii="Calibri" w:eastAsia="Times New Roman" w:hAnsi="Calibri" w:cs="Calibri"/>
                <w:color w:val="000000"/>
                <w:sz w:val="17"/>
                <w:szCs w:val="17"/>
              </w:rPr>
            </w:pPr>
          </w:p>
          <w:p w:rsidR="00D42973" w:rsidRPr="00407A6C" w:rsidRDefault="00D42973" w:rsidP="001F1CE5">
            <w:pPr>
              <w:spacing w:after="0" w:line="240" w:lineRule="auto"/>
              <w:rPr>
                <w:rFonts w:ascii="Calibri" w:eastAsia="Times New Roman" w:hAnsi="Calibri" w:cs="Calibri"/>
                <w:color w:val="000000"/>
                <w:sz w:val="17"/>
                <w:szCs w:val="17"/>
              </w:rPr>
            </w:pPr>
          </w:p>
          <w:p w:rsidR="00D42973" w:rsidRPr="00407A6C" w:rsidRDefault="00D42973" w:rsidP="001F1CE5">
            <w:pPr>
              <w:spacing w:after="0" w:line="240" w:lineRule="auto"/>
              <w:rPr>
                <w:rFonts w:ascii="Calibri" w:eastAsia="Times New Roman" w:hAnsi="Calibri" w:cs="Calibri"/>
                <w:color w:val="000000"/>
                <w:sz w:val="17"/>
                <w:szCs w:val="17"/>
              </w:rPr>
            </w:pPr>
          </w:p>
        </w:tc>
        <w:tc>
          <w:tcPr>
            <w:tcW w:w="2932" w:type="dxa"/>
            <w:gridSpan w:val="3"/>
            <w:tcBorders>
              <w:top w:val="nil"/>
              <w:left w:val="nil"/>
              <w:bottom w:val="single" w:sz="4" w:space="0" w:color="auto"/>
              <w:right w:val="single" w:sz="4" w:space="0" w:color="auto"/>
            </w:tcBorders>
            <w:shd w:val="clear" w:color="auto" w:fill="auto"/>
            <w:vAlign w:val="bottom"/>
            <w:hideMark/>
          </w:tcPr>
          <w:p w:rsidR="00AB2019"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Prophylaxis or treatment of th</w:t>
            </w:r>
            <w:r w:rsidR="00AB2019" w:rsidRPr="00407A6C">
              <w:rPr>
                <w:rFonts w:ascii="Calibri" w:eastAsia="Times New Roman" w:hAnsi="Calibri" w:cs="Calibri"/>
                <w:color w:val="000000"/>
                <w:sz w:val="17"/>
                <w:szCs w:val="17"/>
              </w:rPr>
              <w:t>rombosis in patients with HIT</w:t>
            </w:r>
          </w:p>
          <w:p w:rsidR="00C75FF4"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Patients with (or at risk for) HIT when undergoing PCI</w:t>
            </w:r>
          </w:p>
          <w:p w:rsidR="00AC52A0" w:rsidRPr="00407A6C" w:rsidRDefault="00AC52A0" w:rsidP="00AC52A0">
            <w:pPr>
              <w:spacing w:after="0" w:line="240" w:lineRule="auto"/>
              <w:rPr>
                <w:rFonts w:ascii="Calibri" w:eastAsia="Times New Roman" w:hAnsi="Calibri" w:cs="Calibri"/>
                <w:color w:val="000000"/>
                <w:sz w:val="17"/>
                <w:szCs w:val="17"/>
              </w:rPr>
            </w:pPr>
          </w:p>
          <w:p w:rsidR="00C82D74" w:rsidRDefault="00C82D74" w:rsidP="00AC52A0">
            <w:pPr>
              <w:spacing w:after="0" w:line="240" w:lineRule="auto"/>
              <w:rPr>
                <w:rFonts w:ascii="Calibri" w:eastAsia="Times New Roman" w:hAnsi="Calibri" w:cs="Calibri"/>
                <w:color w:val="000000"/>
                <w:sz w:val="17"/>
                <w:szCs w:val="17"/>
              </w:rPr>
            </w:pPr>
          </w:p>
          <w:p w:rsidR="00D66342" w:rsidRDefault="00D66342" w:rsidP="00AC52A0">
            <w:pPr>
              <w:spacing w:after="0" w:line="240" w:lineRule="auto"/>
              <w:rPr>
                <w:rFonts w:ascii="Calibri" w:eastAsia="Times New Roman" w:hAnsi="Calibri" w:cs="Calibri"/>
                <w:color w:val="000000"/>
                <w:sz w:val="17"/>
                <w:szCs w:val="17"/>
              </w:rPr>
            </w:pPr>
          </w:p>
          <w:p w:rsidR="00D66342" w:rsidRPr="00407A6C" w:rsidRDefault="00D66342" w:rsidP="00AC52A0">
            <w:pPr>
              <w:spacing w:after="0" w:line="240" w:lineRule="auto"/>
              <w:rPr>
                <w:rFonts w:ascii="Calibri" w:eastAsia="Times New Roman" w:hAnsi="Calibri" w:cs="Calibri"/>
                <w:color w:val="000000"/>
                <w:sz w:val="17"/>
                <w:szCs w:val="17"/>
              </w:rPr>
            </w:pPr>
          </w:p>
          <w:p w:rsidR="008139D4" w:rsidRPr="00407A6C" w:rsidRDefault="008139D4" w:rsidP="00AC52A0">
            <w:pPr>
              <w:spacing w:after="0" w:line="240" w:lineRule="auto"/>
              <w:rPr>
                <w:rFonts w:ascii="Calibri" w:eastAsia="Times New Roman" w:hAnsi="Calibri" w:cs="Calibri"/>
                <w:color w:val="000000"/>
                <w:sz w:val="17"/>
                <w:szCs w:val="17"/>
              </w:rPr>
            </w:pPr>
          </w:p>
          <w:p w:rsidR="008139D4" w:rsidRPr="00407A6C" w:rsidRDefault="008139D4" w:rsidP="00AC52A0">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vAlign w:val="bottom"/>
            <w:hideMark/>
          </w:tcPr>
          <w:p w:rsidR="00AB2019"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aPTT</w:t>
            </w:r>
          </w:p>
          <w:p w:rsidR="00C75FF4"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ACT</w:t>
            </w:r>
          </w:p>
          <w:p w:rsidR="00AC52A0" w:rsidRPr="00407A6C" w:rsidRDefault="00AC52A0" w:rsidP="00AC52A0">
            <w:pPr>
              <w:spacing w:after="0" w:line="240" w:lineRule="auto"/>
              <w:rPr>
                <w:rFonts w:ascii="Calibri" w:eastAsia="Times New Roman" w:hAnsi="Calibri" w:cs="Calibri"/>
                <w:color w:val="000000"/>
                <w:sz w:val="17"/>
                <w:szCs w:val="17"/>
              </w:rPr>
            </w:pPr>
          </w:p>
          <w:p w:rsidR="00AC52A0" w:rsidRPr="00407A6C" w:rsidRDefault="00652912" w:rsidP="00AC52A0">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p>
          <w:p w:rsidR="00A94F18" w:rsidRPr="00407A6C" w:rsidRDefault="00A94F18" w:rsidP="00AC52A0">
            <w:pPr>
              <w:spacing w:after="0" w:line="240" w:lineRule="auto"/>
              <w:rPr>
                <w:rFonts w:ascii="Calibri" w:eastAsia="Times New Roman" w:hAnsi="Calibri" w:cs="Calibri"/>
                <w:color w:val="000000"/>
                <w:sz w:val="17"/>
                <w:szCs w:val="17"/>
              </w:rPr>
            </w:pPr>
          </w:p>
          <w:p w:rsidR="00D42973" w:rsidRPr="00407A6C" w:rsidRDefault="00D42973" w:rsidP="00AC52A0">
            <w:pPr>
              <w:spacing w:after="0" w:line="240" w:lineRule="auto"/>
              <w:rPr>
                <w:rFonts w:ascii="Calibri" w:eastAsia="Times New Roman" w:hAnsi="Calibri" w:cs="Calibri"/>
                <w:color w:val="000000"/>
                <w:sz w:val="17"/>
                <w:szCs w:val="17"/>
              </w:rPr>
            </w:pPr>
          </w:p>
          <w:p w:rsidR="00C82D74" w:rsidRPr="00407A6C" w:rsidRDefault="00C82D74" w:rsidP="00AC52A0">
            <w:pPr>
              <w:spacing w:after="0" w:line="240" w:lineRule="auto"/>
              <w:rPr>
                <w:rFonts w:ascii="Calibri" w:eastAsia="Times New Roman" w:hAnsi="Calibri" w:cs="Calibri"/>
                <w:color w:val="000000"/>
                <w:sz w:val="17"/>
                <w:szCs w:val="17"/>
              </w:rPr>
            </w:pPr>
          </w:p>
          <w:p w:rsidR="00A94F18" w:rsidRPr="00407A6C" w:rsidRDefault="00A94F18" w:rsidP="00AC52A0">
            <w:pPr>
              <w:spacing w:after="0" w:line="240" w:lineRule="auto"/>
              <w:rPr>
                <w:rFonts w:ascii="Calibri" w:eastAsia="Times New Roman" w:hAnsi="Calibri" w:cs="Calibri"/>
                <w:color w:val="000000"/>
                <w:sz w:val="17"/>
                <w:szCs w:val="17"/>
              </w:rPr>
            </w:pPr>
          </w:p>
          <w:p w:rsidR="00A94F18" w:rsidRPr="00407A6C" w:rsidRDefault="00A94F18" w:rsidP="00AC52A0">
            <w:pPr>
              <w:spacing w:after="0" w:line="240" w:lineRule="auto"/>
              <w:rPr>
                <w:rFonts w:ascii="Calibri" w:eastAsia="Times New Roman" w:hAnsi="Calibri" w:cs="Calibri"/>
                <w:color w:val="000000"/>
                <w:sz w:val="17"/>
                <w:szCs w:val="17"/>
              </w:rPr>
            </w:pPr>
          </w:p>
          <w:p w:rsidR="00AC52A0" w:rsidRPr="00407A6C" w:rsidRDefault="00AC52A0" w:rsidP="00AC52A0">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vAlign w:val="bottom"/>
            <w:hideMark/>
          </w:tcPr>
          <w:p w:rsidR="00AB2019"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defined</w:t>
            </w:r>
          </w:p>
          <w:p w:rsidR="00AB2019"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Differing experts have postulated roles for:</w:t>
            </w:r>
          </w:p>
          <w:p w:rsidR="00AB2019" w:rsidRPr="00407A6C" w:rsidRDefault="00AB2019" w:rsidP="00AB2019">
            <w:pPr>
              <w:pStyle w:val="ListParagraph"/>
              <w:numPr>
                <w:ilvl w:val="1"/>
                <w:numId w:val="2"/>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PCCs</w:t>
            </w:r>
          </w:p>
          <w:p w:rsidR="00AB2019" w:rsidRPr="00407A6C" w:rsidRDefault="00AB2019" w:rsidP="00AB2019">
            <w:pPr>
              <w:pStyle w:val="ListParagraph"/>
              <w:numPr>
                <w:ilvl w:val="1"/>
                <w:numId w:val="2"/>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Recombinant factor </w:t>
            </w:r>
            <w:proofErr w:type="spellStart"/>
            <w:r w:rsidRPr="00407A6C">
              <w:rPr>
                <w:rFonts w:ascii="Calibri" w:eastAsia="Times New Roman" w:hAnsi="Calibri" w:cs="Calibri"/>
                <w:color w:val="000000"/>
                <w:sz w:val="17"/>
                <w:szCs w:val="17"/>
              </w:rPr>
              <w:t>VIIa</w:t>
            </w:r>
            <w:proofErr w:type="spellEnd"/>
          </w:p>
          <w:p w:rsidR="00AB2019" w:rsidRPr="00407A6C" w:rsidRDefault="00AB2019" w:rsidP="00AB2019">
            <w:pPr>
              <w:pStyle w:val="ListParagraph"/>
              <w:numPr>
                <w:ilvl w:val="1"/>
                <w:numId w:val="2"/>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Fibrinogen (via plasma &amp; cryoprecipitate transfusions)</w:t>
            </w:r>
          </w:p>
          <w:p w:rsidR="00AB2019" w:rsidRPr="00407A6C" w:rsidRDefault="00AB2019" w:rsidP="00AB2019">
            <w:pPr>
              <w:pStyle w:val="ListParagraph"/>
              <w:numPr>
                <w:ilvl w:val="1"/>
                <w:numId w:val="2"/>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Antifibrinolytic drugs</w:t>
            </w:r>
          </w:p>
          <w:p w:rsidR="00C75FF4" w:rsidRPr="00407A6C" w:rsidRDefault="00C75FF4" w:rsidP="00AB2019">
            <w:pPr>
              <w:pStyle w:val="ListParagraph"/>
              <w:numPr>
                <w:ilvl w:val="0"/>
                <w:numId w:val="2"/>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eliminated by dialysis</w:t>
            </w:r>
          </w:p>
        </w:tc>
      </w:tr>
      <w:tr w:rsidR="002C514C" w:rsidRPr="00C75FF4" w:rsidTr="00407A6C">
        <w:trPr>
          <w:trHeight w:val="2016"/>
        </w:trPr>
        <w:tc>
          <w:tcPr>
            <w:tcW w:w="644" w:type="dxa"/>
            <w:vMerge/>
            <w:tcBorders>
              <w:top w:val="single" w:sz="4" w:space="0" w:color="000000"/>
              <w:left w:val="single" w:sz="4" w:space="0" w:color="auto"/>
              <w:bottom w:val="single" w:sz="4" w:space="0" w:color="auto"/>
              <w:right w:val="single" w:sz="4" w:space="0" w:color="auto"/>
            </w:tcBorders>
            <w:vAlign w:val="center"/>
            <w:hideMark/>
          </w:tcPr>
          <w:p w:rsidR="00C75FF4" w:rsidRPr="00C75FF4" w:rsidRDefault="00C75FF4" w:rsidP="00C75FF4">
            <w:pPr>
              <w:spacing w:after="0" w:line="240" w:lineRule="auto"/>
              <w:rPr>
                <w:rFonts w:ascii="Calibri" w:eastAsia="Times New Roman" w:hAnsi="Calibri" w:cs="Calibri"/>
                <w:color w:val="000000"/>
                <w:sz w:val="20"/>
                <w:szCs w:val="20"/>
              </w:rPr>
            </w:pPr>
          </w:p>
        </w:tc>
        <w:tc>
          <w:tcPr>
            <w:tcW w:w="271" w:type="dxa"/>
            <w:vMerge/>
            <w:tcBorders>
              <w:top w:val="nil"/>
              <w:left w:val="single" w:sz="4" w:space="0" w:color="auto"/>
              <w:bottom w:val="single" w:sz="4" w:space="0" w:color="000000"/>
              <w:right w:val="single" w:sz="4" w:space="0" w:color="auto"/>
            </w:tcBorders>
            <w:vAlign w:val="center"/>
            <w:hideMark/>
          </w:tcPr>
          <w:p w:rsidR="00C75FF4" w:rsidRPr="00C75FF4" w:rsidRDefault="00C75FF4" w:rsidP="00C75FF4">
            <w:pPr>
              <w:spacing w:after="0" w:line="240" w:lineRule="auto"/>
              <w:rPr>
                <w:rFonts w:ascii="Calibri" w:eastAsia="Times New Roman" w:hAnsi="Calibri" w:cs="Calibri"/>
                <w:color w:val="000000"/>
                <w:sz w:val="20"/>
                <w:szCs w:val="20"/>
              </w:rPr>
            </w:pPr>
          </w:p>
        </w:tc>
        <w:tc>
          <w:tcPr>
            <w:tcW w:w="1332" w:type="dxa"/>
            <w:gridSpan w:val="2"/>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vertAlign w:val="superscript"/>
              </w:rPr>
            </w:pPr>
            <w:proofErr w:type="spellStart"/>
            <w:r w:rsidRPr="00407A6C">
              <w:rPr>
                <w:rFonts w:ascii="Calibri" w:eastAsia="Times New Roman" w:hAnsi="Calibri" w:cs="Calibri"/>
                <w:color w:val="000000"/>
                <w:sz w:val="17"/>
                <w:szCs w:val="17"/>
              </w:rPr>
              <w:t>Bivalirudin</w:t>
            </w:r>
            <w:proofErr w:type="spellEnd"/>
            <w:r w:rsidRPr="00407A6C">
              <w:rPr>
                <w:rFonts w:ascii="Calibri" w:eastAsia="Times New Roman" w:hAnsi="Calibri" w:cs="Calibri"/>
                <w:color w:val="000000"/>
                <w:sz w:val="17"/>
                <w:szCs w:val="17"/>
              </w:rPr>
              <w:t xml:space="preserve"> (</w:t>
            </w:r>
            <w:proofErr w:type="spellStart"/>
            <w:r w:rsidRPr="00407A6C">
              <w:rPr>
                <w:rFonts w:ascii="Calibri" w:eastAsia="Times New Roman" w:hAnsi="Calibri" w:cs="Calibri"/>
                <w:color w:val="000000"/>
                <w:sz w:val="17"/>
                <w:szCs w:val="17"/>
              </w:rPr>
              <w:t>Angiomax</w:t>
            </w:r>
            <w:proofErr w:type="spellEnd"/>
            <w:r w:rsidRPr="00407A6C">
              <w:rPr>
                <w:rFonts w:ascii="Calibri" w:eastAsia="Times New Roman" w:hAnsi="Calibri" w:cs="Calibri"/>
                <w:color w:val="000000"/>
                <w:sz w:val="17"/>
                <w:szCs w:val="17"/>
              </w:rPr>
              <w:t>)</w:t>
            </w:r>
            <w:r w:rsidRPr="00407A6C">
              <w:rPr>
                <w:rFonts w:ascii="Calibri" w:eastAsia="Times New Roman" w:hAnsi="Calibri" w:cs="Calibri"/>
                <w:color w:val="000000"/>
                <w:sz w:val="17"/>
                <w:szCs w:val="17"/>
                <w:vertAlign w:val="superscript"/>
              </w:rPr>
              <w:t xml:space="preserve"> 5,7</w:t>
            </w: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14681" w:rsidRPr="00407A6C" w:rsidRDefault="00014681"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C82D74" w:rsidRPr="00407A6C" w:rsidRDefault="00C82D74"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tc>
        <w:tc>
          <w:tcPr>
            <w:tcW w:w="1890" w:type="dxa"/>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Directly inhibits soluble &amp; clot-bound thrombin by binding transiently to its </w:t>
            </w:r>
            <w:proofErr w:type="spellStart"/>
            <w:r w:rsidRPr="00407A6C">
              <w:rPr>
                <w:rFonts w:ascii="Calibri" w:eastAsia="Times New Roman" w:hAnsi="Calibri" w:cs="Calibri"/>
                <w:color w:val="000000"/>
                <w:sz w:val="17"/>
                <w:szCs w:val="17"/>
              </w:rPr>
              <w:t>exosites</w:t>
            </w:r>
            <w:proofErr w:type="spellEnd"/>
            <w:r w:rsidRPr="00407A6C">
              <w:rPr>
                <w:rFonts w:ascii="Calibri" w:eastAsia="Times New Roman" w:hAnsi="Calibri" w:cs="Calibri"/>
                <w:color w:val="000000"/>
                <w:sz w:val="17"/>
                <w:szCs w:val="17"/>
              </w:rPr>
              <w:t xml:space="preserve"> &amp; active sites</w:t>
            </w: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D42973" w:rsidRPr="00407A6C" w:rsidRDefault="00D42973" w:rsidP="00C75FF4">
            <w:pPr>
              <w:spacing w:after="0" w:line="240" w:lineRule="auto"/>
              <w:rPr>
                <w:rFonts w:ascii="Calibri" w:eastAsia="Times New Roman" w:hAnsi="Calibri" w:cs="Calibri"/>
                <w:color w:val="000000"/>
                <w:sz w:val="17"/>
                <w:szCs w:val="17"/>
              </w:rPr>
            </w:pPr>
          </w:p>
          <w:p w:rsidR="00C82D74" w:rsidRPr="00407A6C" w:rsidRDefault="00C82D74"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Proteolytic cleavage &amp; unspecified renal mechanisms</w:t>
            </w: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C4DEB" w:rsidRDefault="000C4DEB"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C82D74" w:rsidRPr="00407A6C" w:rsidRDefault="00C82D74"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p w:rsidR="000C4DEB" w:rsidRPr="00407A6C" w:rsidRDefault="000C4DEB" w:rsidP="00C75FF4">
            <w:pPr>
              <w:spacing w:after="0" w:line="240" w:lineRule="auto"/>
              <w:rPr>
                <w:rFonts w:ascii="Calibri" w:eastAsia="Times New Roman" w:hAnsi="Calibri" w:cs="Calibri"/>
                <w:color w:val="000000"/>
                <w:sz w:val="17"/>
                <w:szCs w:val="17"/>
              </w:rPr>
            </w:pPr>
          </w:p>
        </w:tc>
        <w:tc>
          <w:tcPr>
            <w:tcW w:w="1856" w:type="dxa"/>
            <w:gridSpan w:val="7"/>
            <w:tcBorders>
              <w:top w:val="nil"/>
              <w:left w:val="nil"/>
              <w:bottom w:val="single" w:sz="4" w:space="0" w:color="auto"/>
              <w:right w:val="single" w:sz="4" w:space="0" w:color="auto"/>
            </w:tcBorders>
            <w:shd w:val="clear" w:color="auto" w:fill="auto"/>
            <w:vAlign w:val="bottom"/>
            <w:hideMark/>
          </w:tcPr>
          <w:p w:rsidR="00A94F18" w:rsidRPr="00407A6C" w:rsidRDefault="00C75FF4" w:rsidP="00A94F18">
            <w:pPr>
              <w:pStyle w:val="ListParagraph"/>
              <w:numPr>
                <w:ilvl w:val="0"/>
                <w:numId w:val="3"/>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t </w:t>
            </w:r>
            <w:r w:rsidRPr="00407A6C">
              <w:rPr>
                <w:rFonts w:ascii="Calibri" w:eastAsia="Times New Roman" w:hAnsi="Calibri" w:cs="Calibri"/>
                <w:color w:val="000000"/>
                <w:sz w:val="17"/>
                <w:szCs w:val="17"/>
                <w:vertAlign w:val="subscript"/>
              </w:rPr>
              <w:t>1/2</w:t>
            </w:r>
            <w:r w:rsidRPr="00407A6C">
              <w:rPr>
                <w:rFonts w:ascii="Calibri" w:eastAsia="Times New Roman" w:hAnsi="Calibri" w:cs="Calibri"/>
                <w:color w:val="000000"/>
                <w:sz w:val="17"/>
                <w:szCs w:val="17"/>
              </w:rPr>
              <w:t>: 30 minutes</w:t>
            </w:r>
          </w:p>
          <w:p w:rsidR="00C75FF4" w:rsidRPr="00407A6C" w:rsidRDefault="00C75FF4" w:rsidP="00A94F18">
            <w:pPr>
              <w:pStyle w:val="ListParagraph"/>
              <w:numPr>
                <w:ilvl w:val="0"/>
                <w:numId w:val="3"/>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2 to 6 hours</w:t>
            </w:r>
          </w:p>
          <w:p w:rsidR="00A94F18" w:rsidRPr="00407A6C" w:rsidRDefault="00A94F18" w:rsidP="00A94F18">
            <w:pPr>
              <w:spacing w:after="0" w:line="240" w:lineRule="auto"/>
              <w:rPr>
                <w:rFonts w:ascii="Calibri" w:eastAsia="Times New Roman" w:hAnsi="Calibri" w:cs="Calibri"/>
                <w:color w:val="000000"/>
                <w:sz w:val="17"/>
                <w:szCs w:val="17"/>
              </w:rPr>
            </w:pPr>
          </w:p>
          <w:p w:rsidR="00A94F18" w:rsidRPr="00407A6C" w:rsidRDefault="00A94F18" w:rsidP="00A94F18">
            <w:pPr>
              <w:spacing w:after="0" w:line="240" w:lineRule="auto"/>
              <w:rPr>
                <w:rFonts w:ascii="Calibri" w:eastAsia="Times New Roman" w:hAnsi="Calibri" w:cs="Calibri"/>
                <w:color w:val="000000"/>
                <w:sz w:val="17"/>
                <w:szCs w:val="17"/>
              </w:rPr>
            </w:pPr>
          </w:p>
          <w:p w:rsidR="000C4DEB" w:rsidRPr="00407A6C" w:rsidRDefault="000C4DEB" w:rsidP="00A94F18">
            <w:pPr>
              <w:spacing w:after="0" w:line="240" w:lineRule="auto"/>
              <w:rPr>
                <w:rFonts w:ascii="Calibri" w:eastAsia="Times New Roman" w:hAnsi="Calibri" w:cs="Calibri"/>
                <w:color w:val="000000"/>
                <w:sz w:val="17"/>
                <w:szCs w:val="17"/>
              </w:rPr>
            </w:pPr>
          </w:p>
          <w:p w:rsidR="00D42973" w:rsidRPr="00407A6C" w:rsidRDefault="00D42973" w:rsidP="00A94F18">
            <w:pPr>
              <w:spacing w:after="0" w:line="240" w:lineRule="auto"/>
              <w:rPr>
                <w:rFonts w:ascii="Calibri" w:eastAsia="Times New Roman" w:hAnsi="Calibri" w:cs="Calibri"/>
                <w:color w:val="000000"/>
                <w:sz w:val="17"/>
                <w:szCs w:val="17"/>
              </w:rPr>
            </w:pPr>
          </w:p>
          <w:p w:rsidR="00C82D74" w:rsidRPr="00407A6C" w:rsidRDefault="00C82D74" w:rsidP="00A94F18">
            <w:pPr>
              <w:spacing w:after="0" w:line="240" w:lineRule="auto"/>
              <w:rPr>
                <w:rFonts w:ascii="Calibri" w:eastAsia="Times New Roman" w:hAnsi="Calibri" w:cs="Calibri"/>
                <w:color w:val="000000"/>
                <w:sz w:val="17"/>
                <w:szCs w:val="17"/>
              </w:rPr>
            </w:pPr>
          </w:p>
          <w:p w:rsidR="00C82D74" w:rsidRPr="00407A6C" w:rsidRDefault="00C82D74" w:rsidP="00A94F18">
            <w:pPr>
              <w:spacing w:after="0" w:line="240" w:lineRule="auto"/>
              <w:rPr>
                <w:rFonts w:ascii="Calibri" w:eastAsia="Times New Roman" w:hAnsi="Calibri" w:cs="Calibri"/>
                <w:color w:val="000000"/>
                <w:sz w:val="17"/>
                <w:szCs w:val="17"/>
              </w:rPr>
            </w:pPr>
          </w:p>
          <w:p w:rsidR="00A94F18" w:rsidRPr="00407A6C" w:rsidRDefault="00A94F18" w:rsidP="00A94F18">
            <w:pPr>
              <w:spacing w:after="0" w:line="240" w:lineRule="auto"/>
              <w:rPr>
                <w:rFonts w:ascii="Calibri" w:eastAsia="Times New Roman" w:hAnsi="Calibri" w:cs="Calibri"/>
                <w:color w:val="000000"/>
                <w:sz w:val="17"/>
                <w:szCs w:val="17"/>
              </w:rPr>
            </w:pPr>
          </w:p>
          <w:p w:rsidR="00A94F18" w:rsidRPr="00407A6C" w:rsidRDefault="00A94F18" w:rsidP="00A94F18">
            <w:pPr>
              <w:spacing w:after="0" w:line="240" w:lineRule="auto"/>
              <w:rPr>
                <w:rFonts w:ascii="Calibri" w:eastAsia="Times New Roman" w:hAnsi="Calibri" w:cs="Calibri"/>
                <w:color w:val="000000"/>
                <w:sz w:val="17"/>
                <w:szCs w:val="17"/>
              </w:rPr>
            </w:pPr>
          </w:p>
        </w:tc>
        <w:tc>
          <w:tcPr>
            <w:tcW w:w="2932" w:type="dxa"/>
            <w:gridSpan w:val="3"/>
            <w:tcBorders>
              <w:top w:val="nil"/>
              <w:left w:val="nil"/>
              <w:bottom w:val="single" w:sz="4" w:space="0" w:color="auto"/>
              <w:right w:val="single" w:sz="4" w:space="0" w:color="auto"/>
            </w:tcBorders>
            <w:shd w:val="clear" w:color="auto" w:fill="auto"/>
            <w:vAlign w:val="bottom"/>
            <w:hideMark/>
          </w:tcPr>
          <w:p w:rsidR="00C75FF4" w:rsidRPr="00407A6C" w:rsidRDefault="00C75FF4" w:rsidP="00A94F18">
            <w:pPr>
              <w:pStyle w:val="ListParagraph"/>
              <w:numPr>
                <w:ilvl w:val="0"/>
                <w:numId w:val="3"/>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Used (always with aspirin) as an anticoagulant in patients:</w:t>
            </w:r>
          </w:p>
          <w:p w:rsidR="00A94F18" w:rsidRPr="00407A6C" w:rsidRDefault="00A94F18" w:rsidP="00A94F18">
            <w:pPr>
              <w:pStyle w:val="ListParagraph"/>
              <w:numPr>
                <w:ilvl w:val="1"/>
                <w:numId w:val="3"/>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Undergoing PTCA</w:t>
            </w:r>
          </w:p>
          <w:p w:rsidR="00A94F18" w:rsidRPr="00407A6C" w:rsidRDefault="00A94F18" w:rsidP="00A94F18">
            <w:pPr>
              <w:pStyle w:val="ListParagraph"/>
              <w:numPr>
                <w:ilvl w:val="1"/>
                <w:numId w:val="3"/>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Undergoing PCI (with provisional use for GPI)</w:t>
            </w:r>
          </w:p>
          <w:p w:rsidR="00A94F18" w:rsidRPr="00407A6C" w:rsidRDefault="00A94F18" w:rsidP="00A94F18">
            <w:pPr>
              <w:pStyle w:val="ListParagraph"/>
              <w:numPr>
                <w:ilvl w:val="1"/>
                <w:numId w:val="3"/>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With (or at risk for) HIT</w:t>
            </w:r>
          </w:p>
          <w:p w:rsidR="001F1CE5" w:rsidRPr="00407A6C" w:rsidRDefault="001F1CE5" w:rsidP="001F1CE5">
            <w:pPr>
              <w:spacing w:after="0" w:line="240" w:lineRule="auto"/>
              <w:rPr>
                <w:rFonts w:ascii="Calibri" w:eastAsia="Times New Roman" w:hAnsi="Calibri" w:cs="Calibri"/>
                <w:color w:val="000000"/>
                <w:sz w:val="17"/>
                <w:szCs w:val="17"/>
              </w:rPr>
            </w:pPr>
          </w:p>
          <w:p w:rsidR="00C82D74" w:rsidRDefault="00C82D74" w:rsidP="001F1CE5">
            <w:pPr>
              <w:spacing w:after="0" w:line="240" w:lineRule="auto"/>
              <w:rPr>
                <w:rFonts w:ascii="Calibri" w:eastAsia="Times New Roman" w:hAnsi="Calibri" w:cs="Calibri"/>
                <w:color w:val="000000"/>
                <w:sz w:val="17"/>
                <w:szCs w:val="17"/>
              </w:rPr>
            </w:pPr>
          </w:p>
          <w:p w:rsidR="00D66342" w:rsidRPr="00407A6C" w:rsidRDefault="00D66342" w:rsidP="001F1CE5">
            <w:pPr>
              <w:spacing w:after="0" w:line="240" w:lineRule="auto"/>
              <w:rPr>
                <w:rFonts w:ascii="Calibri" w:eastAsia="Times New Roman" w:hAnsi="Calibri" w:cs="Calibri"/>
                <w:color w:val="000000"/>
                <w:sz w:val="17"/>
                <w:szCs w:val="17"/>
              </w:rPr>
            </w:pPr>
          </w:p>
          <w:p w:rsidR="008139D4" w:rsidRPr="00407A6C" w:rsidRDefault="008139D4" w:rsidP="001F1CE5">
            <w:pPr>
              <w:spacing w:after="0" w:line="240" w:lineRule="auto"/>
              <w:rPr>
                <w:rFonts w:ascii="Calibri" w:eastAsia="Times New Roman" w:hAnsi="Calibri" w:cs="Calibri"/>
                <w:color w:val="000000"/>
                <w:sz w:val="17"/>
                <w:szCs w:val="17"/>
              </w:rPr>
            </w:pPr>
          </w:p>
          <w:p w:rsidR="008139D4" w:rsidRPr="00407A6C" w:rsidRDefault="008139D4" w:rsidP="001F1CE5">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vAlign w:val="bottom"/>
            <w:hideMark/>
          </w:tcPr>
          <w:p w:rsidR="00A94F18" w:rsidRPr="00407A6C" w:rsidRDefault="00C75FF4" w:rsidP="00A94F18">
            <w:pPr>
              <w:pStyle w:val="ListParagraph"/>
              <w:numPr>
                <w:ilvl w:val="0"/>
                <w:numId w:val="4"/>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aPTT</w:t>
            </w:r>
          </w:p>
          <w:p w:rsidR="00C75FF4" w:rsidRPr="00407A6C" w:rsidRDefault="00C75FF4" w:rsidP="00A94F18">
            <w:pPr>
              <w:pStyle w:val="ListParagraph"/>
              <w:numPr>
                <w:ilvl w:val="0"/>
                <w:numId w:val="4"/>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ACT</w:t>
            </w:r>
          </w:p>
          <w:p w:rsidR="000C4DEB" w:rsidRPr="00407A6C" w:rsidRDefault="000C4DEB" w:rsidP="000C4DEB">
            <w:pPr>
              <w:spacing w:after="0" w:line="240" w:lineRule="auto"/>
              <w:rPr>
                <w:rFonts w:ascii="Calibri" w:eastAsia="Times New Roman" w:hAnsi="Calibri" w:cs="Calibri"/>
                <w:color w:val="000000"/>
                <w:sz w:val="17"/>
                <w:szCs w:val="17"/>
              </w:rPr>
            </w:pPr>
          </w:p>
          <w:p w:rsidR="000C4DEB" w:rsidRPr="00407A6C" w:rsidRDefault="00652912" w:rsidP="000C4DEB">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p>
          <w:p w:rsidR="000C4DEB" w:rsidRPr="00407A6C" w:rsidRDefault="000C4DEB" w:rsidP="000C4DEB">
            <w:pPr>
              <w:spacing w:after="0" w:line="240" w:lineRule="auto"/>
              <w:rPr>
                <w:rFonts w:ascii="Calibri" w:eastAsia="Times New Roman" w:hAnsi="Calibri" w:cs="Calibri"/>
                <w:color w:val="000000"/>
                <w:sz w:val="17"/>
                <w:szCs w:val="17"/>
              </w:rPr>
            </w:pPr>
          </w:p>
          <w:p w:rsidR="000C4DEB" w:rsidRPr="00407A6C" w:rsidRDefault="000C4DEB" w:rsidP="000C4DEB">
            <w:pPr>
              <w:spacing w:after="0" w:line="240" w:lineRule="auto"/>
              <w:rPr>
                <w:rFonts w:ascii="Calibri" w:eastAsia="Times New Roman" w:hAnsi="Calibri" w:cs="Calibri"/>
                <w:color w:val="000000"/>
                <w:sz w:val="17"/>
                <w:szCs w:val="17"/>
              </w:rPr>
            </w:pPr>
          </w:p>
          <w:p w:rsidR="000C4DEB" w:rsidRPr="00407A6C" w:rsidRDefault="000C4DEB" w:rsidP="000C4DEB">
            <w:pPr>
              <w:spacing w:after="0" w:line="240" w:lineRule="auto"/>
              <w:rPr>
                <w:rFonts w:ascii="Calibri" w:eastAsia="Times New Roman" w:hAnsi="Calibri" w:cs="Calibri"/>
                <w:color w:val="000000"/>
                <w:sz w:val="17"/>
                <w:szCs w:val="17"/>
              </w:rPr>
            </w:pPr>
          </w:p>
          <w:p w:rsidR="00C82D74" w:rsidRPr="00407A6C" w:rsidRDefault="00C82D74" w:rsidP="000C4DEB">
            <w:pPr>
              <w:spacing w:after="0" w:line="240" w:lineRule="auto"/>
              <w:rPr>
                <w:rFonts w:ascii="Calibri" w:eastAsia="Times New Roman" w:hAnsi="Calibri" w:cs="Calibri"/>
                <w:color w:val="000000"/>
                <w:sz w:val="17"/>
                <w:szCs w:val="17"/>
              </w:rPr>
            </w:pPr>
          </w:p>
          <w:p w:rsidR="00D42973" w:rsidRPr="00407A6C" w:rsidRDefault="00D42973" w:rsidP="000C4DEB">
            <w:pPr>
              <w:spacing w:after="0" w:line="240" w:lineRule="auto"/>
              <w:rPr>
                <w:rFonts w:ascii="Calibri" w:eastAsia="Times New Roman" w:hAnsi="Calibri" w:cs="Calibri"/>
                <w:color w:val="000000"/>
                <w:sz w:val="17"/>
                <w:szCs w:val="17"/>
              </w:rPr>
            </w:pPr>
          </w:p>
          <w:p w:rsidR="000C4DEB" w:rsidRPr="00407A6C" w:rsidRDefault="000C4DEB" w:rsidP="000C4DEB">
            <w:pPr>
              <w:spacing w:after="0" w:line="240" w:lineRule="auto"/>
              <w:rPr>
                <w:rFonts w:ascii="Calibri" w:eastAsia="Times New Roman" w:hAnsi="Calibri" w:cs="Calibri"/>
                <w:color w:val="000000"/>
                <w:sz w:val="17"/>
                <w:szCs w:val="17"/>
              </w:rPr>
            </w:pPr>
          </w:p>
          <w:p w:rsidR="000C4DEB" w:rsidRPr="00407A6C" w:rsidRDefault="000C4DEB" w:rsidP="000C4DEB">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vAlign w:val="bottom"/>
            <w:hideMark/>
          </w:tcPr>
          <w:p w:rsidR="00A94F18" w:rsidRPr="00407A6C" w:rsidRDefault="00C75FF4" w:rsidP="00014681">
            <w:pPr>
              <w:pStyle w:val="ListParagraph"/>
              <w:numPr>
                <w:ilvl w:val="0"/>
                <w:numId w:val="4"/>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defined</w:t>
            </w:r>
          </w:p>
          <w:p w:rsidR="00C75FF4" w:rsidRPr="00407A6C" w:rsidRDefault="00C75FF4" w:rsidP="00014681">
            <w:pPr>
              <w:pStyle w:val="ListParagraph"/>
              <w:numPr>
                <w:ilvl w:val="0"/>
                <w:numId w:val="4"/>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Differing experts have postulated roles for: </w:t>
            </w:r>
          </w:p>
          <w:p w:rsidR="00A94F18" w:rsidRPr="00407A6C" w:rsidRDefault="00A94F18" w:rsidP="00014681">
            <w:pPr>
              <w:pStyle w:val="ListParagraph"/>
              <w:numPr>
                <w:ilvl w:val="1"/>
                <w:numId w:val="4"/>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PCCs</w:t>
            </w:r>
          </w:p>
          <w:p w:rsidR="00A94F18" w:rsidRPr="00407A6C" w:rsidRDefault="00A94F18" w:rsidP="00014681">
            <w:pPr>
              <w:pStyle w:val="ListParagraph"/>
              <w:numPr>
                <w:ilvl w:val="1"/>
                <w:numId w:val="4"/>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Recombinant factor </w:t>
            </w:r>
            <w:proofErr w:type="spellStart"/>
            <w:r w:rsidRPr="00407A6C">
              <w:rPr>
                <w:rFonts w:ascii="Calibri" w:eastAsia="Times New Roman" w:hAnsi="Calibri" w:cs="Calibri"/>
                <w:color w:val="000000"/>
                <w:sz w:val="17"/>
                <w:szCs w:val="17"/>
              </w:rPr>
              <w:t>VIIa</w:t>
            </w:r>
            <w:proofErr w:type="spellEnd"/>
          </w:p>
          <w:p w:rsidR="00A94F18" w:rsidRPr="00407A6C" w:rsidRDefault="00A94F18" w:rsidP="00014681">
            <w:pPr>
              <w:pStyle w:val="ListParagraph"/>
              <w:numPr>
                <w:ilvl w:val="1"/>
                <w:numId w:val="4"/>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Fibrinogen (via plasma &amp; cryoprecipitate transfusions)</w:t>
            </w:r>
          </w:p>
          <w:p w:rsidR="00A94F18" w:rsidRPr="00407A6C" w:rsidRDefault="00A94F18" w:rsidP="00014681">
            <w:pPr>
              <w:pStyle w:val="ListParagraph"/>
              <w:numPr>
                <w:ilvl w:val="1"/>
                <w:numId w:val="4"/>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Antifibrinolytic drugs</w:t>
            </w:r>
          </w:p>
          <w:p w:rsidR="00A94F18" w:rsidRPr="00407A6C" w:rsidRDefault="00A94F18" w:rsidP="00014681">
            <w:pPr>
              <w:pStyle w:val="ListParagraph"/>
              <w:numPr>
                <w:ilvl w:val="1"/>
                <w:numId w:val="4"/>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Modified ultrafiltration &amp; hemodialysis</w:t>
            </w:r>
          </w:p>
        </w:tc>
      </w:tr>
      <w:tr w:rsidR="002C514C" w:rsidRPr="00C75FF4" w:rsidTr="00D66342">
        <w:trPr>
          <w:trHeight w:val="1079"/>
        </w:trPr>
        <w:tc>
          <w:tcPr>
            <w:tcW w:w="644" w:type="dxa"/>
            <w:vMerge/>
            <w:tcBorders>
              <w:top w:val="single" w:sz="4" w:space="0" w:color="000000"/>
              <w:left w:val="single" w:sz="4" w:space="0" w:color="auto"/>
              <w:bottom w:val="single" w:sz="4" w:space="0" w:color="auto"/>
              <w:right w:val="single" w:sz="4" w:space="0" w:color="auto"/>
            </w:tcBorders>
            <w:vAlign w:val="center"/>
            <w:hideMark/>
          </w:tcPr>
          <w:p w:rsidR="00C75FF4" w:rsidRPr="00C75FF4" w:rsidRDefault="00C75FF4" w:rsidP="00C75FF4">
            <w:pPr>
              <w:spacing w:after="0" w:line="240" w:lineRule="auto"/>
              <w:rPr>
                <w:rFonts w:ascii="Calibri" w:eastAsia="Times New Roman" w:hAnsi="Calibri" w:cs="Calibri"/>
                <w:color w:val="000000"/>
                <w:sz w:val="20"/>
                <w:szCs w:val="20"/>
              </w:rPr>
            </w:pPr>
          </w:p>
        </w:tc>
        <w:tc>
          <w:tcPr>
            <w:tcW w:w="271" w:type="dxa"/>
            <w:vMerge/>
            <w:tcBorders>
              <w:top w:val="nil"/>
              <w:left w:val="single" w:sz="4" w:space="0" w:color="auto"/>
              <w:bottom w:val="single" w:sz="4" w:space="0" w:color="000000"/>
              <w:right w:val="single" w:sz="4" w:space="0" w:color="auto"/>
            </w:tcBorders>
            <w:vAlign w:val="center"/>
            <w:hideMark/>
          </w:tcPr>
          <w:p w:rsidR="00C75FF4" w:rsidRPr="00C75FF4" w:rsidRDefault="00C75FF4" w:rsidP="00C75FF4">
            <w:pPr>
              <w:spacing w:after="0" w:line="240" w:lineRule="auto"/>
              <w:rPr>
                <w:rFonts w:ascii="Calibri" w:eastAsia="Times New Roman" w:hAnsi="Calibri" w:cs="Calibri"/>
                <w:color w:val="000000"/>
                <w:sz w:val="20"/>
                <w:szCs w:val="20"/>
              </w:rPr>
            </w:pPr>
          </w:p>
        </w:tc>
        <w:tc>
          <w:tcPr>
            <w:tcW w:w="1332" w:type="dxa"/>
            <w:gridSpan w:val="2"/>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vertAlign w:val="superscript"/>
              </w:rPr>
            </w:pPr>
            <w:proofErr w:type="spellStart"/>
            <w:r w:rsidRPr="00407A6C">
              <w:rPr>
                <w:rFonts w:ascii="Calibri" w:eastAsia="Times New Roman" w:hAnsi="Calibri" w:cs="Calibri"/>
                <w:color w:val="000000"/>
                <w:sz w:val="17"/>
                <w:szCs w:val="17"/>
              </w:rPr>
              <w:t>Lepirudin</w:t>
            </w:r>
            <w:proofErr w:type="spellEnd"/>
            <w:r w:rsidRPr="00407A6C">
              <w:rPr>
                <w:rFonts w:ascii="Calibri" w:eastAsia="Times New Roman" w:hAnsi="Calibri" w:cs="Calibri"/>
                <w:color w:val="000000"/>
                <w:sz w:val="17"/>
                <w:szCs w:val="17"/>
              </w:rPr>
              <w:t xml:space="preserve"> (</w:t>
            </w:r>
            <w:proofErr w:type="spellStart"/>
            <w:r w:rsidRPr="00407A6C">
              <w:rPr>
                <w:rFonts w:ascii="Calibri" w:eastAsia="Times New Roman" w:hAnsi="Calibri" w:cs="Calibri"/>
                <w:color w:val="000000"/>
                <w:sz w:val="17"/>
                <w:szCs w:val="17"/>
              </w:rPr>
              <w:t>Refludan</w:t>
            </w:r>
            <w:proofErr w:type="spellEnd"/>
            <w:r w:rsidRPr="00407A6C">
              <w:rPr>
                <w:rFonts w:ascii="Calibri" w:eastAsia="Times New Roman" w:hAnsi="Calibri" w:cs="Calibri"/>
                <w:color w:val="000000"/>
                <w:sz w:val="17"/>
                <w:szCs w:val="17"/>
              </w:rPr>
              <w:t xml:space="preserve">) </w:t>
            </w:r>
            <w:r w:rsidRPr="00407A6C">
              <w:rPr>
                <w:rFonts w:ascii="Calibri" w:eastAsia="Times New Roman" w:hAnsi="Calibri" w:cs="Calibri"/>
                <w:color w:val="000000"/>
                <w:sz w:val="17"/>
                <w:szCs w:val="17"/>
                <w:vertAlign w:val="superscript"/>
              </w:rPr>
              <w:t>5,8</w:t>
            </w:r>
          </w:p>
          <w:p w:rsidR="004E5963" w:rsidRPr="00407A6C" w:rsidRDefault="004E5963" w:rsidP="00C75FF4">
            <w:pPr>
              <w:spacing w:after="0" w:line="240" w:lineRule="auto"/>
              <w:rPr>
                <w:rFonts w:ascii="Calibri" w:eastAsia="Times New Roman" w:hAnsi="Calibri" w:cs="Calibri"/>
                <w:color w:val="000000"/>
                <w:sz w:val="17"/>
                <w:szCs w:val="17"/>
              </w:rPr>
            </w:pPr>
          </w:p>
          <w:p w:rsidR="006471F9" w:rsidRPr="00407A6C" w:rsidRDefault="006471F9"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tc>
        <w:tc>
          <w:tcPr>
            <w:tcW w:w="1890" w:type="dxa"/>
            <w:tcBorders>
              <w:top w:val="nil"/>
              <w:left w:val="nil"/>
              <w:bottom w:val="single" w:sz="4" w:space="0" w:color="auto"/>
              <w:right w:val="single" w:sz="4" w:space="0" w:color="auto"/>
            </w:tcBorders>
            <w:shd w:val="clear" w:color="auto" w:fill="auto"/>
            <w:vAlign w:val="bottom"/>
            <w:hideMark/>
          </w:tcPr>
          <w:p w:rsidR="00D42973"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Directly inhibits soluble &amp; clot-bound thrombin by binding irreversibly to its </w:t>
            </w:r>
            <w:proofErr w:type="spellStart"/>
            <w:r w:rsidRPr="00407A6C">
              <w:rPr>
                <w:rFonts w:ascii="Calibri" w:eastAsia="Times New Roman" w:hAnsi="Calibri" w:cs="Calibri"/>
                <w:color w:val="000000"/>
                <w:sz w:val="17"/>
                <w:szCs w:val="17"/>
              </w:rPr>
              <w:t>exosites</w:t>
            </w:r>
            <w:proofErr w:type="spellEnd"/>
            <w:r w:rsidRPr="00407A6C">
              <w:rPr>
                <w:rFonts w:ascii="Calibri" w:eastAsia="Times New Roman" w:hAnsi="Calibri" w:cs="Calibri"/>
                <w:color w:val="000000"/>
                <w:sz w:val="17"/>
                <w:szCs w:val="17"/>
              </w:rPr>
              <w:t xml:space="preserve"> &amp; active sites</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w:t>
            </w:r>
          </w:p>
          <w:p w:rsidR="00DF1EA2" w:rsidRPr="00407A6C" w:rsidRDefault="00DF1EA2" w:rsidP="00C75FF4">
            <w:pPr>
              <w:spacing w:after="0" w:line="240" w:lineRule="auto"/>
              <w:rPr>
                <w:rFonts w:ascii="Calibri" w:eastAsia="Times New Roman" w:hAnsi="Calibri" w:cs="Calibri"/>
                <w:color w:val="000000"/>
                <w:sz w:val="17"/>
                <w:szCs w:val="17"/>
              </w:rPr>
            </w:pPr>
          </w:p>
          <w:p w:rsidR="00DF1EA2" w:rsidRPr="00407A6C" w:rsidRDefault="00DF1EA2" w:rsidP="00C75FF4">
            <w:pPr>
              <w:spacing w:after="0" w:line="240" w:lineRule="auto"/>
              <w:rPr>
                <w:rFonts w:ascii="Calibri" w:eastAsia="Times New Roman" w:hAnsi="Calibri" w:cs="Calibri"/>
                <w:color w:val="000000"/>
                <w:sz w:val="17"/>
                <w:szCs w:val="17"/>
              </w:rPr>
            </w:pPr>
          </w:p>
          <w:p w:rsidR="00DF1EA2" w:rsidRPr="00407A6C" w:rsidRDefault="00DF1EA2" w:rsidP="00C75FF4">
            <w:pPr>
              <w:spacing w:after="0" w:line="240" w:lineRule="auto"/>
              <w:rPr>
                <w:rFonts w:ascii="Calibri" w:eastAsia="Times New Roman" w:hAnsi="Calibri" w:cs="Calibri"/>
                <w:color w:val="000000"/>
                <w:sz w:val="17"/>
                <w:szCs w:val="17"/>
              </w:rPr>
            </w:pPr>
          </w:p>
          <w:p w:rsidR="00D42973" w:rsidRPr="00407A6C" w:rsidRDefault="00D42973" w:rsidP="00C75FF4">
            <w:pPr>
              <w:spacing w:after="0" w:line="240" w:lineRule="auto"/>
              <w:rPr>
                <w:rFonts w:ascii="Calibri" w:eastAsia="Times New Roman" w:hAnsi="Calibri" w:cs="Calibri"/>
                <w:color w:val="000000"/>
                <w:sz w:val="17"/>
                <w:szCs w:val="17"/>
              </w:rPr>
            </w:pPr>
          </w:p>
        </w:tc>
        <w:tc>
          <w:tcPr>
            <w:tcW w:w="1856" w:type="dxa"/>
            <w:gridSpan w:val="7"/>
            <w:tcBorders>
              <w:top w:val="nil"/>
              <w:left w:val="nil"/>
              <w:bottom w:val="single" w:sz="4" w:space="0" w:color="auto"/>
              <w:right w:val="single" w:sz="4" w:space="0" w:color="auto"/>
            </w:tcBorders>
            <w:shd w:val="clear" w:color="auto" w:fill="auto"/>
            <w:vAlign w:val="bottom"/>
            <w:hideMark/>
          </w:tcPr>
          <w:p w:rsidR="00C75FF4" w:rsidRPr="00407A6C" w:rsidRDefault="00C75FF4" w:rsidP="00DF1EA2">
            <w:pPr>
              <w:pStyle w:val="ListParagraph"/>
              <w:numPr>
                <w:ilvl w:val="0"/>
                <w:numId w:val="5"/>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t </w:t>
            </w:r>
            <w:r w:rsidRPr="00407A6C">
              <w:rPr>
                <w:rFonts w:ascii="Calibri" w:eastAsia="Times New Roman" w:hAnsi="Calibri" w:cs="Calibri"/>
                <w:color w:val="000000"/>
                <w:sz w:val="17"/>
                <w:szCs w:val="17"/>
                <w:vertAlign w:val="subscript"/>
              </w:rPr>
              <w:t xml:space="preserve">1/2: </w:t>
            </w:r>
            <w:r w:rsidRPr="00407A6C">
              <w:rPr>
                <w:rFonts w:ascii="Calibri" w:eastAsia="Times New Roman" w:hAnsi="Calibri" w:cs="Calibri"/>
                <w:color w:val="000000"/>
                <w:sz w:val="17"/>
                <w:szCs w:val="17"/>
              </w:rPr>
              <w:t xml:space="preserve"> 1 to 2 hours</w:t>
            </w:r>
          </w:p>
          <w:p w:rsidR="00DF1EA2" w:rsidRPr="00407A6C" w:rsidRDefault="00DF1EA2" w:rsidP="00DF1EA2">
            <w:pPr>
              <w:spacing w:after="0" w:line="240" w:lineRule="auto"/>
              <w:rPr>
                <w:rFonts w:ascii="Calibri" w:eastAsia="Times New Roman" w:hAnsi="Calibri" w:cs="Calibri"/>
                <w:color w:val="000000"/>
                <w:sz w:val="17"/>
                <w:szCs w:val="17"/>
              </w:rPr>
            </w:pPr>
          </w:p>
          <w:p w:rsidR="00DF1EA2" w:rsidRPr="00407A6C" w:rsidRDefault="00DF1EA2" w:rsidP="00DF1EA2">
            <w:pPr>
              <w:spacing w:after="0" w:line="240" w:lineRule="auto"/>
              <w:rPr>
                <w:rFonts w:ascii="Calibri" w:eastAsia="Times New Roman" w:hAnsi="Calibri" w:cs="Calibri"/>
                <w:color w:val="000000"/>
                <w:sz w:val="17"/>
                <w:szCs w:val="17"/>
              </w:rPr>
            </w:pPr>
          </w:p>
          <w:p w:rsidR="00D42973" w:rsidRPr="00407A6C" w:rsidRDefault="00D42973" w:rsidP="00DF1EA2">
            <w:pPr>
              <w:spacing w:after="0" w:line="240" w:lineRule="auto"/>
              <w:rPr>
                <w:rFonts w:ascii="Calibri" w:eastAsia="Times New Roman" w:hAnsi="Calibri" w:cs="Calibri"/>
                <w:color w:val="000000"/>
                <w:sz w:val="17"/>
                <w:szCs w:val="17"/>
              </w:rPr>
            </w:pPr>
          </w:p>
          <w:p w:rsidR="00DF1EA2" w:rsidRPr="00407A6C" w:rsidRDefault="00DF1EA2" w:rsidP="00DF1EA2">
            <w:pPr>
              <w:spacing w:after="0" w:line="240" w:lineRule="auto"/>
              <w:rPr>
                <w:rFonts w:ascii="Calibri" w:eastAsia="Times New Roman" w:hAnsi="Calibri" w:cs="Calibri"/>
                <w:color w:val="000000"/>
                <w:sz w:val="17"/>
                <w:szCs w:val="17"/>
              </w:rPr>
            </w:pPr>
          </w:p>
        </w:tc>
        <w:tc>
          <w:tcPr>
            <w:tcW w:w="2932" w:type="dxa"/>
            <w:gridSpan w:val="3"/>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Adult patients with HIT &amp; thromboembolic disease requiring parenteral antithrombotic therapy</w:t>
            </w:r>
          </w:p>
          <w:p w:rsidR="008139D4" w:rsidRPr="00407A6C" w:rsidRDefault="008139D4" w:rsidP="00C75FF4">
            <w:pPr>
              <w:spacing w:after="0" w:line="240" w:lineRule="auto"/>
              <w:rPr>
                <w:rFonts w:ascii="Calibri" w:eastAsia="Times New Roman" w:hAnsi="Calibri" w:cs="Calibri"/>
                <w:color w:val="000000"/>
                <w:sz w:val="17"/>
                <w:szCs w:val="17"/>
              </w:rPr>
            </w:pPr>
          </w:p>
          <w:p w:rsidR="008139D4" w:rsidRPr="00407A6C" w:rsidRDefault="008139D4" w:rsidP="00C75FF4">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vAlign w:val="bottom"/>
            <w:hideMark/>
          </w:tcPr>
          <w:p w:rsidR="00DF1EA2" w:rsidRPr="00407A6C" w:rsidRDefault="00C75FF4" w:rsidP="00DF1EA2">
            <w:pPr>
              <w:pStyle w:val="ListParagraph"/>
              <w:numPr>
                <w:ilvl w:val="0"/>
                <w:numId w:val="5"/>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aPTT</w:t>
            </w:r>
          </w:p>
          <w:p w:rsidR="00C75FF4" w:rsidRPr="00407A6C" w:rsidRDefault="00C75FF4" w:rsidP="00DF1EA2">
            <w:pPr>
              <w:pStyle w:val="ListParagraph"/>
              <w:numPr>
                <w:ilvl w:val="0"/>
                <w:numId w:val="5"/>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ECT</w:t>
            </w:r>
          </w:p>
          <w:p w:rsidR="00DF1EA2" w:rsidRPr="00407A6C" w:rsidRDefault="00DF1EA2" w:rsidP="00DF1EA2">
            <w:pPr>
              <w:spacing w:after="0" w:line="240" w:lineRule="auto"/>
              <w:rPr>
                <w:rFonts w:ascii="Calibri" w:eastAsia="Times New Roman" w:hAnsi="Calibri" w:cs="Calibri"/>
                <w:color w:val="000000"/>
                <w:sz w:val="17"/>
                <w:szCs w:val="17"/>
              </w:rPr>
            </w:pPr>
          </w:p>
          <w:p w:rsidR="00DF1EA2" w:rsidRPr="00407A6C" w:rsidRDefault="00652912" w:rsidP="00DF1EA2">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w:t>
            </w:r>
            <w:r w:rsidR="001A230E" w:rsidRPr="00407A6C">
              <w:rPr>
                <w:rFonts w:ascii="Calibri" w:eastAsia="Times New Roman" w:hAnsi="Calibri" w:cs="Calibri"/>
                <w:color w:val="C00000"/>
                <w:sz w:val="17"/>
                <w:szCs w:val="17"/>
              </w:rPr>
              <w:t xml:space="preserve"> </w:t>
            </w:r>
            <w:r w:rsidRPr="00407A6C">
              <w:rPr>
                <w:rFonts w:ascii="Calibri" w:eastAsia="Times New Roman" w:hAnsi="Calibri" w:cs="Calibri"/>
                <w:color w:val="C00000"/>
                <w:sz w:val="17"/>
                <w:szCs w:val="17"/>
              </w:rPr>
              <w:t>– Increase R</w:t>
            </w:r>
          </w:p>
          <w:p w:rsidR="00DF1EA2" w:rsidRPr="00407A6C" w:rsidRDefault="00DF1EA2" w:rsidP="00DF1EA2">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(Same as for </w:t>
            </w:r>
            <w:proofErr w:type="spellStart"/>
            <w:r w:rsidR="00AA791F">
              <w:rPr>
                <w:rFonts w:ascii="Calibri" w:eastAsia="Times New Roman" w:hAnsi="Calibri" w:cs="Calibri"/>
                <w:color w:val="000000"/>
                <w:sz w:val="17"/>
                <w:szCs w:val="17"/>
              </w:rPr>
              <w:t>A</w:t>
            </w:r>
            <w:r w:rsidRPr="00407A6C">
              <w:rPr>
                <w:rFonts w:ascii="Calibri" w:eastAsia="Times New Roman" w:hAnsi="Calibri" w:cs="Calibri"/>
                <w:color w:val="000000"/>
                <w:sz w:val="17"/>
                <w:szCs w:val="17"/>
              </w:rPr>
              <w:t>rgatroban</w:t>
            </w:r>
            <w:proofErr w:type="spellEnd"/>
            <w:r w:rsidRPr="00407A6C">
              <w:rPr>
                <w:rFonts w:ascii="Calibri" w:eastAsia="Times New Roman" w:hAnsi="Calibri" w:cs="Calibri"/>
                <w:color w:val="000000"/>
                <w:sz w:val="17"/>
                <w:szCs w:val="17"/>
              </w:rPr>
              <w:t>)</w:t>
            </w:r>
          </w:p>
          <w:p w:rsidR="00DF1EA2" w:rsidRPr="00407A6C" w:rsidRDefault="00DF1EA2" w:rsidP="00C75FF4">
            <w:pPr>
              <w:spacing w:after="0" w:line="240" w:lineRule="auto"/>
              <w:rPr>
                <w:rFonts w:ascii="Calibri" w:eastAsia="Times New Roman" w:hAnsi="Calibri" w:cs="Calibri"/>
                <w:color w:val="000000"/>
                <w:sz w:val="17"/>
                <w:szCs w:val="17"/>
              </w:rPr>
            </w:pPr>
          </w:p>
          <w:p w:rsidR="00DF1EA2" w:rsidRPr="00407A6C" w:rsidRDefault="00DF1EA2" w:rsidP="00C75FF4">
            <w:pPr>
              <w:spacing w:after="0" w:line="240" w:lineRule="auto"/>
              <w:rPr>
                <w:rFonts w:ascii="Calibri" w:eastAsia="Times New Roman" w:hAnsi="Calibri" w:cs="Calibri"/>
                <w:color w:val="000000"/>
                <w:sz w:val="17"/>
                <w:szCs w:val="17"/>
              </w:rPr>
            </w:pPr>
          </w:p>
          <w:p w:rsidR="00DF1EA2" w:rsidRPr="00407A6C" w:rsidRDefault="00DF1EA2" w:rsidP="00C75FF4">
            <w:pPr>
              <w:spacing w:after="0" w:line="240" w:lineRule="auto"/>
              <w:rPr>
                <w:rFonts w:ascii="Calibri" w:eastAsia="Times New Roman" w:hAnsi="Calibri" w:cs="Calibri"/>
                <w:color w:val="000000"/>
                <w:sz w:val="17"/>
                <w:szCs w:val="17"/>
              </w:rPr>
            </w:pPr>
          </w:p>
          <w:p w:rsidR="00DF1EA2" w:rsidRPr="00407A6C" w:rsidRDefault="00DF1EA2" w:rsidP="00C75FF4">
            <w:pPr>
              <w:spacing w:after="0" w:line="240" w:lineRule="auto"/>
              <w:rPr>
                <w:rFonts w:ascii="Calibri" w:eastAsia="Times New Roman" w:hAnsi="Calibri" w:cs="Calibri"/>
                <w:color w:val="000000"/>
                <w:sz w:val="17"/>
                <w:szCs w:val="17"/>
              </w:rPr>
            </w:pPr>
          </w:p>
        </w:tc>
      </w:tr>
      <w:tr w:rsidR="002C514C" w:rsidRPr="00C75FF4" w:rsidTr="00B74398">
        <w:trPr>
          <w:trHeight w:val="2231"/>
        </w:trPr>
        <w:tc>
          <w:tcPr>
            <w:tcW w:w="644" w:type="dxa"/>
            <w:vMerge/>
            <w:tcBorders>
              <w:top w:val="single" w:sz="4" w:space="0" w:color="000000"/>
              <w:left w:val="single" w:sz="4" w:space="0" w:color="auto"/>
              <w:bottom w:val="single" w:sz="4" w:space="0" w:color="auto"/>
              <w:right w:val="single" w:sz="4" w:space="0" w:color="auto"/>
            </w:tcBorders>
            <w:vAlign w:val="center"/>
            <w:hideMark/>
          </w:tcPr>
          <w:p w:rsidR="00C75FF4" w:rsidRPr="00C75FF4" w:rsidRDefault="00C75FF4" w:rsidP="00C75FF4">
            <w:pPr>
              <w:spacing w:after="0" w:line="240" w:lineRule="auto"/>
              <w:rPr>
                <w:rFonts w:ascii="Calibri" w:eastAsia="Times New Roman" w:hAnsi="Calibri" w:cs="Calibri"/>
                <w:color w:val="000000"/>
                <w:sz w:val="20"/>
                <w:szCs w:val="20"/>
              </w:rPr>
            </w:pPr>
          </w:p>
        </w:tc>
        <w:tc>
          <w:tcPr>
            <w:tcW w:w="271" w:type="dxa"/>
            <w:tcBorders>
              <w:top w:val="single" w:sz="4" w:space="0" w:color="000000"/>
              <w:left w:val="nil"/>
              <w:bottom w:val="single" w:sz="4" w:space="0" w:color="auto"/>
              <w:right w:val="single" w:sz="4" w:space="0" w:color="auto"/>
            </w:tcBorders>
            <w:shd w:val="clear" w:color="auto" w:fill="EAF1DD" w:themeFill="accent3" w:themeFillTint="33"/>
            <w:noWrap/>
            <w:textDirection w:val="btLr"/>
            <w:vAlign w:val="center"/>
            <w:hideMark/>
          </w:tcPr>
          <w:p w:rsidR="00C75FF4" w:rsidRPr="00C75FF4" w:rsidRDefault="00C75FF4"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Oral</w:t>
            </w:r>
          </w:p>
        </w:tc>
        <w:tc>
          <w:tcPr>
            <w:tcW w:w="1332" w:type="dxa"/>
            <w:gridSpan w:val="2"/>
            <w:tcBorders>
              <w:top w:val="single" w:sz="4" w:space="0" w:color="auto"/>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vertAlign w:val="superscript"/>
              </w:rPr>
            </w:pPr>
            <w:proofErr w:type="spellStart"/>
            <w:r w:rsidRPr="00407A6C">
              <w:rPr>
                <w:rFonts w:ascii="Calibri" w:eastAsia="Times New Roman" w:hAnsi="Calibri" w:cs="Calibri"/>
                <w:color w:val="000000"/>
                <w:sz w:val="17"/>
                <w:szCs w:val="17"/>
              </w:rPr>
              <w:t>Dabigatran</w:t>
            </w:r>
            <w:proofErr w:type="spellEnd"/>
            <w:r w:rsidRPr="00407A6C">
              <w:rPr>
                <w:rFonts w:ascii="Calibri" w:eastAsia="Times New Roman" w:hAnsi="Calibri" w:cs="Calibri"/>
                <w:color w:val="000000"/>
                <w:sz w:val="17"/>
                <w:szCs w:val="17"/>
              </w:rPr>
              <w:t xml:space="preserve"> (Pradaxa) </w:t>
            </w:r>
            <w:r w:rsidRPr="00407A6C">
              <w:rPr>
                <w:rFonts w:ascii="Calibri" w:eastAsia="Times New Roman" w:hAnsi="Calibri" w:cs="Calibri"/>
                <w:color w:val="000000"/>
                <w:sz w:val="17"/>
                <w:szCs w:val="17"/>
                <w:vertAlign w:val="superscript"/>
              </w:rPr>
              <w:t>9-12</w:t>
            </w: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Default="004E5963" w:rsidP="00C75FF4">
            <w:pPr>
              <w:spacing w:after="0" w:line="240" w:lineRule="auto"/>
              <w:rPr>
                <w:rFonts w:ascii="Calibri" w:eastAsia="Times New Roman" w:hAnsi="Calibri" w:cs="Calibri"/>
                <w:color w:val="000000"/>
                <w:sz w:val="17"/>
                <w:szCs w:val="17"/>
              </w:rPr>
            </w:pPr>
          </w:p>
          <w:p w:rsidR="00D66342" w:rsidRDefault="00D66342"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6471F9" w:rsidRPr="00407A6C" w:rsidRDefault="006471F9"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Inhibits soluble &amp; clot-bound thrombin as well as thrombin-induced platelet aggregation</w:t>
            </w: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1F1CE5" w:rsidRDefault="001F1CE5" w:rsidP="00C75FF4">
            <w:pPr>
              <w:spacing w:after="0" w:line="240" w:lineRule="auto"/>
              <w:rPr>
                <w:rFonts w:ascii="Calibri" w:eastAsia="Times New Roman" w:hAnsi="Calibri" w:cs="Calibri"/>
                <w:color w:val="000000"/>
                <w:sz w:val="17"/>
                <w:szCs w:val="17"/>
              </w:rPr>
            </w:pPr>
          </w:p>
          <w:p w:rsidR="00D66342" w:rsidRDefault="00D66342"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w:t>
            </w: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1F1CE5" w:rsidRDefault="001F1CE5" w:rsidP="00C75FF4">
            <w:pPr>
              <w:spacing w:after="0" w:line="240" w:lineRule="auto"/>
              <w:rPr>
                <w:rFonts w:ascii="Calibri" w:eastAsia="Times New Roman" w:hAnsi="Calibri" w:cs="Calibri"/>
                <w:color w:val="000000"/>
                <w:sz w:val="17"/>
                <w:szCs w:val="17"/>
              </w:rPr>
            </w:pPr>
          </w:p>
          <w:p w:rsidR="00D66342" w:rsidRDefault="00D66342"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tc>
        <w:tc>
          <w:tcPr>
            <w:tcW w:w="1856" w:type="dxa"/>
            <w:gridSpan w:val="7"/>
            <w:tcBorders>
              <w:top w:val="single" w:sz="4" w:space="0" w:color="auto"/>
              <w:left w:val="nil"/>
              <w:bottom w:val="single" w:sz="4" w:space="0" w:color="auto"/>
              <w:right w:val="single" w:sz="4" w:space="0" w:color="auto"/>
            </w:tcBorders>
            <w:shd w:val="clear" w:color="auto" w:fill="auto"/>
            <w:vAlign w:val="bottom"/>
            <w:hideMark/>
          </w:tcPr>
          <w:p w:rsidR="004E5963" w:rsidRPr="00407A6C" w:rsidRDefault="00C75FF4" w:rsidP="004E5963">
            <w:pPr>
              <w:pStyle w:val="ListParagraph"/>
              <w:numPr>
                <w:ilvl w:val="0"/>
                <w:numId w:val="6"/>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t </w:t>
            </w:r>
            <w:r w:rsidRPr="00407A6C">
              <w:rPr>
                <w:rFonts w:ascii="Calibri" w:eastAsia="Times New Roman" w:hAnsi="Calibri" w:cs="Calibri"/>
                <w:color w:val="000000"/>
                <w:sz w:val="17"/>
                <w:szCs w:val="17"/>
                <w:vertAlign w:val="subscript"/>
              </w:rPr>
              <w:t xml:space="preserve">1/2: </w:t>
            </w:r>
            <w:r w:rsidRPr="00407A6C">
              <w:rPr>
                <w:rFonts w:ascii="Calibri" w:eastAsia="Times New Roman" w:hAnsi="Calibri" w:cs="Calibri"/>
                <w:color w:val="000000"/>
                <w:sz w:val="17"/>
                <w:szCs w:val="17"/>
              </w:rPr>
              <w:t xml:space="preserve"> 12 to 17 hours</w:t>
            </w:r>
          </w:p>
          <w:p w:rsidR="00D42973" w:rsidRDefault="00C75FF4" w:rsidP="00D42973">
            <w:pPr>
              <w:pStyle w:val="ListParagraph"/>
              <w:numPr>
                <w:ilvl w:val="0"/>
                <w:numId w:val="6"/>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Duration: not well defined; </w:t>
            </w:r>
            <w:proofErr w:type="spellStart"/>
            <w:r w:rsidRPr="00407A6C">
              <w:rPr>
                <w:rFonts w:ascii="Calibri" w:eastAsia="Times New Roman" w:hAnsi="Calibri" w:cs="Calibri"/>
                <w:color w:val="000000"/>
                <w:sz w:val="17"/>
                <w:szCs w:val="17"/>
              </w:rPr>
              <w:t>coag</w:t>
            </w:r>
            <w:proofErr w:type="spellEnd"/>
            <w:r w:rsidRPr="00407A6C">
              <w:rPr>
                <w:rFonts w:ascii="Calibri" w:eastAsia="Times New Roman" w:hAnsi="Calibri" w:cs="Calibri"/>
                <w:color w:val="000000"/>
                <w:sz w:val="17"/>
                <w:szCs w:val="17"/>
              </w:rPr>
              <w:t xml:space="preserve"> tests down to 30% of max within 12 hours but increase risk of blee</w:t>
            </w:r>
            <w:r w:rsidR="00AA791F">
              <w:rPr>
                <w:rFonts w:ascii="Calibri" w:eastAsia="Times New Roman" w:hAnsi="Calibri" w:cs="Calibri"/>
                <w:color w:val="000000"/>
                <w:sz w:val="17"/>
                <w:szCs w:val="17"/>
              </w:rPr>
              <w:t>d</w:t>
            </w:r>
            <w:r w:rsidRPr="00407A6C">
              <w:rPr>
                <w:rFonts w:ascii="Calibri" w:eastAsia="Times New Roman" w:hAnsi="Calibri" w:cs="Calibri"/>
                <w:color w:val="000000"/>
                <w:sz w:val="17"/>
                <w:szCs w:val="17"/>
              </w:rPr>
              <w:t>ing for 5 days</w:t>
            </w:r>
          </w:p>
          <w:p w:rsidR="00D66342" w:rsidRPr="00D66342" w:rsidRDefault="00D66342" w:rsidP="00D66342">
            <w:pPr>
              <w:spacing w:after="0" w:line="240" w:lineRule="auto"/>
              <w:rPr>
                <w:rFonts w:ascii="Calibri" w:eastAsia="Times New Roman" w:hAnsi="Calibri" w:cs="Calibri"/>
                <w:color w:val="000000"/>
                <w:sz w:val="17"/>
                <w:szCs w:val="17"/>
              </w:rPr>
            </w:pPr>
          </w:p>
        </w:tc>
        <w:tc>
          <w:tcPr>
            <w:tcW w:w="2932" w:type="dxa"/>
            <w:gridSpan w:val="3"/>
            <w:tcBorders>
              <w:top w:val="single" w:sz="4" w:space="0" w:color="auto"/>
              <w:left w:val="nil"/>
              <w:bottom w:val="single" w:sz="4" w:space="0" w:color="auto"/>
              <w:right w:val="single" w:sz="4" w:space="0" w:color="auto"/>
            </w:tcBorders>
            <w:shd w:val="clear" w:color="auto" w:fill="auto"/>
            <w:vAlign w:val="bottom"/>
            <w:hideMark/>
          </w:tcPr>
          <w:p w:rsidR="00C75FF4" w:rsidRPr="00407A6C" w:rsidRDefault="00C75FF4"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To reduce risk of stroke &amp; thromboembolism in patients with non-</w:t>
            </w:r>
            <w:proofErr w:type="spellStart"/>
            <w:r w:rsidRPr="00407A6C">
              <w:rPr>
                <w:rFonts w:ascii="Calibri" w:eastAsia="Times New Roman" w:hAnsi="Calibri" w:cs="Calibri"/>
                <w:color w:val="000000"/>
                <w:sz w:val="17"/>
                <w:szCs w:val="17"/>
              </w:rPr>
              <w:t>valvular</w:t>
            </w:r>
            <w:proofErr w:type="spellEnd"/>
            <w:r w:rsidRPr="00407A6C">
              <w:rPr>
                <w:rFonts w:ascii="Calibri" w:eastAsia="Times New Roman" w:hAnsi="Calibri" w:cs="Calibri"/>
                <w:color w:val="000000"/>
                <w:sz w:val="17"/>
                <w:szCs w:val="17"/>
              </w:rPr>
              <w:t xml:space="preserve"> AF</w:t>
            </w: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p w:rsidR="001F1CE5" w:rsidRDefault="001F1CE5" w:rsidP="00C75FF4">
            <w:pPr>
              <w:spacing w:after="0" w:line="240" w:lineRule="auto"/>
              <w:rPr>
                <w:rFonts w:ascii="Calibri" w:eastAsia="Times New Roman" w:hAnsi="Calibri" w:cs="Calibri"/>
                <w:color w:val="000000"/>
                <w:sz w:val="17"/>
                <w:szCs w:val="17"/>
              </w:rPr>
            </w:pPr>
          </w:p>
          <w:p w:rsidR="00D66342" w:rsidRDefault="00D66342" w:rsidP="00C75FF4">
            <w:pPr>
              <w:spacing w:after="0" w:line="240" w:lineRule="auto"/>
              <w:rPr>
                <w:rFonts w:ascii="Calibri" w:eastAsia="Times New Roman" w:hAnsi="Calibri" w:cs="Calibri"/>
                <w:color w:val="000000"/>
                <w:sz w:val="17"/>
                <w:szCs w:val="17"/>
              </w:rPr>
            </w:pPr>
          </w:p>
          <w:p w:rsidR="00D66342" w:rsidRPr="00407A6C" w:rsidRDefault="00D66342" w:rsidP="00C75FF4">
            <w:pPr>
              <w:spacing w:after="0" w:line="240" w:lineRule="auto"/>
              <w:rPr>
                <w:rFonts w:ascii="Calibri" w:eastAsia="Times New Roman" w:hAnsi="Calibri" w:cs="Calibri"/>
                <w:color w:val="000000"/>
                <w:sz w:val="17"/>
                <w:szCs w:val="17"/>
              </w:rPr>
            </w:pPr>
          </w:p>
          <w:p w:rsidR="00D42973" w:rsidRPr="00407A6C" w:rsidRDefault="00D42973" w:rsidP="00C75FF4">
            <w:pPr>
              <w:spacing w:after="0" w:line="240" w:lineRule="auto"/>
              <w:rPr>
                <w:rFonts w:ascii="Calibri" w:eastAsia="Times New Roman" w:hAnsi="Calibri" w:cs="Calibri"/>
                <w:color w:val="000000"/>
                <w:sz w:val="17"/>
                <w:szCs w:val="17"/>
              </w:rPr>
            </w:pPr>
          </w:p>
          <w:p w:rsidR="004E5963" w:rsidRPr="00407A6C" w:rsidRDefault="004E5963" w:rsidP="00C75FF4">
            <w:pPr>
              <w:spacing w:after="0" w:line="240" w:lineRule="auto"/>
              <w:rPr>
                <w:rFonts w:ascii="Calibri" w:eastAsia="Times New Roman" w:hAnsi="Calibri" w:cs="Calibri"/>
                <w:color w:val="000000"/>
                <w:sz w:val="17"/>
                <w:szCs w:val="17"/>
              </w:rPr>
            </w:pPr>
          </w:p>
        </w:tc>
        <w:tc>
          <w:tcPr>
            <w:tcW w:w="1800" w:type="dxa"/>
            <w:gridSpan w:val="2"/>
            <w:tcBorders>
              <w:top w:val="single" w:sz="4" w:space="0" w:color="auto"/>
              <w:left w:val="nil"/>
              <w:bottom w:val="single" w:sz="4" w:space="0" w:color="auto"/>
              <w:right w:val="single" w:sz="4" w:space="0" w:color="auto"/>
            </w:tcBorders>
            <w:shd w:val="clear" w:color="auto" w:fill="auto"/>
            <w:vAlign w:val="bottom"/>
            <w:hideMark/>
          </w:tcPr>
          <w:p w:rsidR="004E5963" w:rsidRPr="00407A6C" w:rsidRDefault="00C75FF4" w:rsidP="004E5963">
            <w:pPr>
              <w:pStyle w:val="ListParagraph"/>
              <w:numPr>
                <w:ilvl w:val="0"/>
                <w:numId w:val="8"/>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w:t>
            </w:r>
            <w:r w:rsidR="004E5963" w:rsidRPr="00407A6C">
              <w:rPr>
                <w:rFonts w:ascii="Calibri" w:eastAsia="Times New Roman" w:hAnsi="Calibri" w:cs="Calibri"/>
                <w:color w:val="000000"/>
                <w:sz w:val="17"/>
                <w:szCs w:val="17"/>
              </w:rPr>
              <w:t>efined (&amp; usually not required)</w:t>
            </w:r>
          </w:p>
          <w:p w:rsidR="00C75FF4" w:rsidRPr="00407A6C" w:rsidRDefault="00C75FF4" w:rsidP="004E5963">
            <w:pPr>
              <w:pStyle w:val="ListParagraph"/>
              <w:numPr>
                <w:ilvl w:val="0"/>
                <w:numId w:val="8"/>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Roles may exist for:</w:t>
            </w:r>
          </w:p>
          <w:p w:rsidR="004E5963" w:rsidRPr="00407A6C" w:rsidRDefault="004E5963" w:rsidP="004E5963">
            <w:pPr>
              <w:pStyle w:val="ListParagraph"/>
              <w:numPr>
                <w:ilvl w:val="0"/>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aPTT</w:t>
            </w:r>
          </w:p>
          <w:p w:rsidR="004E5963" w:rsidRPr="00407A6C" w:rsidRDefault="004E5963" w:rsidP="004E5963">
            <w:pPr>
              <w:pStyle w:val="ListParagraph"/>
              <w:numPr>
                <w:ilvl w:val="0"/>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TT</w:t>
            </w:r>
          </w:p>
          <w:p w:rsidR="004E5963" w:rsidRPr="00407A6C" w:rsidRDefault="004E5963" w:rsidP="004E5963">
            <w:pPr>
              <w:pStyle w:val="ListParagraph"/>
              <w:numPr>
                <w:ilvl w:val="0"/>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ECT</w:t>
            </w:r>
          </w:p>
          <w:p w:rsidR="006471F9" w:rsidRPr="00407A6C" w:rsidRDefault="006471F9" w:rsidP="006471F9">
            <w:pPr>
              <w:spacing w:after="0" w:line="240" w:lineRule="auto"/>
              <w:rPr>
                <w:rFonts w:ascii="Calibri" w:eastAsia="Times New Roman" w:hAnsi="Calibri" w:cs="Calibri"/>
                <w:color w:val="000000"/>
                <w:sz w:val="17"/>
                <w:szCs w:val="17"/>
              </w:rPr>
            </w:pPr>
          </w:p>
          <w:p w:rsidR="00D42973" w:rsidRPr="00407A6C" w:rsidRDefault="00652912" w:rsidP="006471F9">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w:t>
            </w:r>
            <w:r w:rsidR="001A230E" w:rsidRPr="00407A6C">
              <w:rPr>
                <w:rFonts w:ascii="Calibri" w:eastAsia="Times New Roman" w:hAnsi="Calibri" w:cs="Calibri"/>
                <w:color w:val="C00000"/>
                <w:sz w:val="17"/>
                <w:szCs w:val="17"/>
              </w:rPr>
              <w:t xml:space="preserve"> </w:t>
            </w:r>
            <w:r w:rsidRPr="00407A6C">
              <w:rPr>
                <w:rFonts w:ascii="Calibri" w:eastAsia="Times New Roman" w:hAnsi="Calibri" w:cs="Calibri"/>
                <w:color w:val="C00000"/>
                <w:sz w:val="17"/>
                <w:szCs w:val="17"/>
              </w:rPr>
              <w:t>– Increase R</w:t>
            </w:r>
          </w:p>
          <w:p w:rsidR="004E5963" w:rsidRPr="00407A6C" w:rsidRDefault="004E5963" w:rsidP="004E5963">
            <w:pPr>
              <w:spacing w:after="0" w:line="240" w:lineRule="auto"/>
              <w:rPr>
                <w:rFonts w:ascii="Calibri" w:eastAsia="Times New Roman" w:hAnsi="Calibri" w:cs="Calibri"/>
                <w:color w:val="000000"/>
                <w:sz w:val="17"/>
                <w:szCs w:val="17"/>
              </w:rPr>
            </w:pPr>
          </w:p>
        </w:tc>
        <w:tc>
          <w:tcPr>
            <w:tcW w:w="2970" w:type="dxa"/>
            <w:gridSpan w:val="2"/>
            <w:tcBorders>
              <w:top w:val="single" w:sz="4" w:space="0" w:color="auto"/>
              <w:left w:val="nil"/>
              <w:bottom w:val="single" w:sz="4" w:space="0" w:color="auto"/>
              <w:right w:val="single" w:sz="4" w:space="0" w:color="auto"/>
            </w:tcBorders>
            <w:shd w:val="clear" w:color="auto" w:fill="auto"/>
            <w:vAlign w:val="bottom"/>
            <w:hideMark/>
          </w:tcPr>
          <w:p w:rsidR="004E5963" w:rsidRPr="00407A6C" w:rsidRDefault="00C75FF4" w:rsidP="004E596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defined</w:t>
            </w:r>
          </w:p>
          <w:p w:rsidR="00C75FF4" w:rsidRPr="00407A6C" w:rsidRDefault="00C75FF4" w:rsidP="004E596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Differing experts have postulated roles for:</w:t>
            </w:r>
          </w:p>
          <w:p w:rsidR="004E5963" w:rsidRPr="00407A6C" w:rsidRDefault="004E5963" w:rsidP="004E5963">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Diuresis &amp; dialysis</w:t>
            </w:r>
          </w:p>
          <w:p w:rsidR="004E5963" w:rsidRPr="00407A6C" w:rsidRDefault="004E5963" w:rsidP="004E5963">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Recombinant factor </w:t>
            </w:r>
            <w:proofErr w:type="spellStart"/>
            <w:r w:rsidRPr="00407A6C">
              <w:rPr>
                <w:rFonts w:ascii="Calibri" w:eastAsia="Times New Roman" w:hAnsi="Calibri" w:cs="Calibri"/>
                <w:color w:val="000000"/>
                <w:sz w:val="17"/>
                <w:szCs w:val="17"/>
              </w:rPr>
              <w:t>VIIa</w:t>
            </w:r>
            <w:proofErr w:type="spellEnd"/>
          </w:p>
          <w:p w:rsidR="004E5963" w:rsidRPr="00407A6C" w:rsidRDefault="004E5963" w:rsidP="004E5963">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PCCs (perhaps less useful)</w:t>
            </w:r>
          </w:p>
          <w:p w:rsidR="004E5963" w:rsidRPr="00407A6C" w:rsidRDefault="004E5963" w:rsidP="004E5963">
            <w:pPr>
              <w:spacing w:after="0" w:line="240" w:lineRule="auto"/>
              <w:rPr>
                <w:rFonts w:ascii="Calibri" w:eastAsia="Times New Roman" w:hAnsi="Calibri" w:cs="Calibri"/>
                <w:color w:val="000000"/>
                <w:sz w:val="17"/>
                <w:szCs w:val="17"/>
              </w:rPr>
            </w:pPr>
          </w:p>
          <w:p w:rsidR="001F1CE5" w:rsidRDefault="001F1CE5" w:rsidP="004E5963">
            <w:pPr>
              <w:spacing w:after="0" w:line="240" w:lineRule="auto"/>
              <w:rPr>
                <w:rFonts w:ascii="Calibri" w:eastAsia="Times New Roman" w:hAnsi="Calibri" w:cs="Calibri"/>
                <w:color w:val="000000"/>
                <w:sz w:val="17"/>
                <w:szCs w:val="17"/>
              </w:rPr>
            </w:pPr>
          </w:p>
          <w:p w:rsidR="00D66342" w:rsidRDefault="00D66342" w:rsidP="004E5963">
            <w:pPr>
              <w:spacing w:after="0" w:line="240" w:lineRule="auto"/>
              <w:rPr>
                <w:rFonts w:ascii="Calibri" w:eastAsia="Times New Roman" w:hAnsi="Calibri" w:cs="Calibri"/>
                <w:color w:val="000000"/>
                <w:sz w:val="17"/>
                <w:szCs w:val="17"/>
              </w:rPr>
            </w:pPr>
          </w:p>
          <w:p w:rsidR="00D66342" w:rsidRPr="00407A6C" w:rsidRDefault="00D66342" w:rsidP="004E5963">
            <w:pPr>
              <w:spacing w:after="0" w:line="240" w:lineRule="auto"/>
              <w:rPr>
                <w:rFonts w:ascii="Calibri" w:eastAsia="Times New Roman" w:hAnsi="Calibri" w:cs="Calibri"/>
                <w:color w:val="000000"/>
                <w:sz w:val="17"/>
                <w:szCs w:val="17"/>
              </w:rPr>
            </w:pPr>
          </w:p>
          <w:p w:rsidR="004E5963" w:rsidRPr="00407A6C" w:rsidRDefault="004E5963" w:rsidP="004E5963">
            <w:pPr>
              <w:spacing w:after="0" w:line="240" w:lineRule="auto"/>
              <w:rPr>
                <w:rFonts w:ascii="Calibri" w:eastAsia="Times New Roman" w:hAnsi="Calibri" w:cs="Calibri"/>
                <w:color w:val="000000"/>
                <w:sz w:val="17"/>
                <w:szCs w:val="17"/>
              </w:rPr>
            </w:pPr>
          </w:p>
        </w:tc>
      </w:tr>
      <w:tr w:rsidR="00BA25B0" w:rsidRPr="00BB0999" w:rsidTr="00480F9E">
        <w:trPr>
          <w:trHeight w:val="61"/>
        </w:trPr>
        <w:tc>
          <w:tcPr>
            <w:tcW w:w="644" w:type="dxa"/>
            <w:tcBorders>
              <w:top w:val="single" w:sz="4" w:space="0" w:color="auto"/>
              <w:left w:val="single" w:sz="4" w:space="0" w:color="auto"/>
              <w:bottom w:val="single" w:sz="4" w:space="0" w:color="auto"/>
            </w:tcBorders>
            <w:vAlign w:val="center"/>
          </w:tcPr>
          <w:p w:rsidR="00BA25B0" w:rsidRPr="00BB0999" w:rsidRDefault="00BA25B0" w:rsidP="00C75FF4">
            <w:pPr>
              <w:spacing w:after="0" w:line="240" w:lineRule="auto"/>
              <w:rPr>
                <w:rFonts w:ascii="Calibri" w:eastAsia="Times New Roman" w:hAnsi="Calibri" w:cs="Calibri"/>
                <w:color w:val="000000"/>
                <w:sz w:val="17"/>
                <w:szCs w:val="17"/>
              </w:rPr>
            </w:pPr>
          </w:p>
        </w:tc>
        <w:tc>
          <w:tcPr>
            <w:tcW w:w="271" w:type="dxa"/>
            <w:tcBorders>
              <w:top w:val="single" w:sz="4" w:space="0" w:color="auto"/>
              <w:bottom w:val="single" w:sz="4" w:space="0" w:color="auto"/>
            </w:tcBorders>
            <w:shd w:val="clear" w:color="auto" w:fill="auto"/>
            <w:noWrap/>
            <w:textDirection w:val="btLr"/>
            <w:vAlign w:val="center"/>
          </w:tcPr>
          <w:p w:rsidR="00BA25B0" w:rsidRPr="00BB0999" w:rsidRDefault="00BA25B0" w:rsidP="00C75FF4">
            <w:pPr>
              <w:spacing w:after="0" w:line="240" w:lineRule="auto"/>
              <w:jc w:val="center"/>
              <w:rPr>
                <w:rFonts w:ascii="Calibri" w:eastAsia="Times New Roman" w:hAnsi="Calibri" w:cs="Calibri"/>
                <w:color w:val="000000"/>
                <w:sz w:val="17"/>
                <w:szCs w:val="17"/>
              </w:rPr>
            </w:pPr>
          </w:p>
        </w:tc>
        <w:tc>
          <w:tcPr>
            <w:tcW w:w="14220" w:type="dxa"/>
            <w:gridSpan w:val="20"/>
            <w:tcBorders>
              <w:top w:val="single" w:sz="4" w:space="0" w:color="auto"/>
              <w:bottom w:val="single" w:sz="4" w:space="0" w:color="auto"/>
              <w:right w:val="single" w:sz="4" w:space="0" w:color="auto"/>
            </w:tcBorders>
            <w:shd w:val="clear" w:color="auto" w:fill="auto"/>
            <w:vAlign w:val="bottom"/>
          </w:tcPr>
          <w:p w:rsidR="00BA25B0" w:rsidRPr="00BB0999" w:rsidRDefault="00BA25B0" w:rsidP="00C75FF4">
            <w:pPr>
              <w:spacing w:after="0" w:line="240" w:lineRule="auto"/>
              <w:rPr>
                <w:rFonts w:ascii="Calibri" w:eastAsia="Times New Roman" w:hAnsi="Calibri" w:cs="Calibri"/>
                <w:color w:val="000000"/>
                <w:sz w:val="17"/>
                <w:szCs w:val="17"/>
              </w:rPr>
            </w:pPr>
            <w:r w:rsidRPr="00BB0999">
              <w:rPr>
                <w:rFonts w:ascii="Calibri" w:eastAsia="Times New Roman" w:hAnsi="Calibri" w:cs="Calibri"/>
                <w:color w:val="000000"/>
                <w:sz w:val="17"/>
                <w:szCs w:val="17"/>
              </w:rPr>
              <w:t>Notes:</w:t>
            </w:r>
          </w:p>
          <w:p w:rsidR="00BA25B0" w:rsidRDefault="00BA25B0" w:rsidP="00BA25B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Other DTI to be aware of is:</w:t>
            </w:r>
          </w:p>
          <w:p w:rsidR="00BA25B0" w:rsidRPr="00BA25B0" w:rsidRDefault="00BA25B0" w:rsidP="00BA25B0">
            <w:pPr>
              <w:pStyle w:val="ListParagraph"/>
              <w:numPr>
                <w:ilvl w:val="1"/>
                <w:numId w:val="7"/>
              </w:numPr>
              <w:spacing w:after="0" w:line="240" w:lineRule="auto"/>
              <w:ind w:left="1080"/>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Hirudin</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rHirudin</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Lepirudin</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Refludan</w:t>
            </w:r>
            <w:proofErr w:type="spellEnd"/>
            <w:r>
              <w:rPr>
                <w:rFonts w:ascii="Calibri" w:eastAsia="Times New Roman" w:hAnsi="Calibri" w:cs="Calibri"/>
                <w:color w:val="000000"/>
                <w:sz w:val="17"/>
                <w:szCs w:val="17"/>
              </w:rPr>
              <w:t>)</w:t>
            </w:r>
          </w:p>
          <w:p w:rsidR="00BA25B0" w:rsidRPr="00BB0999" w:rsidRDefault="00BA25B0" w:rsidP="009D3945">
            <w:pPr>
              <w:spacing w:after="0" w:line="240" w:lineRule="auto"/>
              <w:rPr>
                <w:rFonts w:ascii="Calibri" w:eastAsia="Times New Roman" w:hAnsi="Calibri" w:cs="Calibri"/>
                <w:color w:val="000000"/>
                <w:sz w:val="17"/>
                <w:szCs w:val="17"/>
              </w:rPr>
            </w:pPr>
          </w:p>
        </w:tc>
      </w:tr>
      <w:tr w:rsidR="002C514C" w:rsidRPr="00C75FF4" w:rsidTr="00B74398">
        <w:trPr>
          <w:trHeight w:val="800"/>
        </w:trPr>
        <w:tc>
          <w:tcPr>
            <w:tcW w:w="644" w:type="dxa"/>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C75FF4" w:rsidRPr="00C75FF4" w:rsidRDefault="00C75FF4" w:rsidP="00480F91">
            <w:pPr>
              <w:spacing w:after="0" w:line="240" w:lineRule="auto"/>
              <w:jc w:val="right"/>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lastRenderedPageBreak/>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 </w:t>
            </w:r>
          </w:p>
        </w:tc>
        <w:tc>
          <w:tcPr>
            <w:tcW w:w="1332" w:type="dxa"/>
            <w:gridSpan w:val="2"/>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Agent</w:t>
            </w:r>
          </w:p>
        </w:tc>
        <w:tc>
          <w:tcPr>
            <w:tcW w:w="189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Clearance</w:t>
            </w:r>
          </w:p>
        </w:tc>
        <w:tc>
          <w:tcPr>
            <w:tcW w:w="1856" w:type="dxa"/>
            <w:gridSpan w:val="7"/>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480F91" w:rsidP="00C75FF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Usual Half Lif</w:t>
            </w:r>
            <w:r w:rsidRPr="00C75FF4">
              <w:rPr>
                <w:rFonts w:ascii="Calibri" w:eastAsia="Times New Roman" w:hAnsi="Calibri" w:cs="Calibri"/>
                <w:b/>
                <w:bCs/>
                <w:color w:val="000000"/>
                <w:sz w:val="20"/>
                <w:szCs w:val="20"/>
              </w:rPr>
              <w:t xml:space="preserve">e </w:t>
            </w:r>
            <w:r>
              <w:rPr>
                <w:rFonts w:ascii="Calibri" w:eastAsia="Times New Roman" w:hAnsi="Calibri" w:cs="Calibri"/>
                <w:b/>
                <w:bCs/>
                <w:color w:val="000000"/>
                <w:sz w:val="20"/>
                <w:szCs w:val="20"/>
              </w:rPr>
              <w:t>(t</w:t>
            </w:r>
            <w:r w:rsidRPr="00480F91">
              <w:rPr>
                <w:rFonts w:ascii="Calibri" w:eastAsia="Times New Roman" w:hAnsi="Calibri" w:cs="Calibri"/>
                <w:b/>
                <w:bCs/>
                <w:color w:val="000000"/>
                <w:sz w:val="20"/>
                <w:szCs w:val="20"/>
                <w:vertAlign w:val="subscript"/>
              </w:rPr>
              <w:t>1/2</w:t>
            </w:r>
            <w:r>
              <w:rPr>
                <w:rFonts w:ascii="Calibri" w:eastAsia="Times New Roman" w:hAnsi="Calibri" w:cs="Calibri"/>
                <w:b/>
                <w:bCs/>
                <w:color w:val="000000"/>
                <w:sz w:val="20"/>
                <w:szCs w:val="20"/>
              </w:rPr>
              <w:t xml:space="preserve">) </w:t>
            </w:r>
            <w:r w:rsidRPr="00C75FF4">
              <w:rPr>
                <w:rFonts w:ascii="Calibri" w:eastAsia="Times New Roman" w:hAnsi="Calibri" w:cs="Calibri"/>
                <w:b/>
                <w:bCs/>
                <w:color w:val="000000"/>
                <w:sz w:val="20"/>
                <w:szCs w:val="20"/>
              </w:rPr>
              <w:t>&amp; Duration of Effect</w:t>
            </w:r>
          </w:p>
        </w:tc>
        <w:tc>
          <w:tcPr>
            <w:tcW w:w="2932" w:type="dxa"/>
            <w:gridSpan w:val="3"/>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Most Common Indications</w:t>
            </w:r>
          </w:p>
        </w:tc>
        <w:tc>
          <w:tcPr>
            <w:tcW w:w="180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Monitoring Methods</w:t>
            </w:r>
          </w:p>
        </w:tc>
        <w:tc>
          <w:tcPr>
            <w:tcW w:w="297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C75FF4" w:rsidRPr="00C75FF4" w:rsidRDefault="00C75FF4"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Strategies for Rapid Reversal and/or Hemostatic Correction</w:t>
            </w:r>
          </w:p>
        </w:tc>
      </w:tr>
      <w:tr w:rsidR="00C75FF4" w:rsidRPr="00C75FF4" w:rsidTr="009D3945">
        <w:trPr>
          <w:trHeight w:val="412"/>
        </w:trPr>
        <w:tc>
          <w:tcPr>
            <w:tcW w:w="15135" w:type="dxa"/>
            <w:gridSpan w:val="22"/>
            <w:tcBorders>
              <w:top w:val="nil"/>
              <w:left w:val="single" w:sz="4" w:space="0" w:color="auto"/>
              <w:bottom w:val="single" w:sz="4" w:space="0" w:color="auto"/>
              <w:right w:val="single" w:sz="4" w:space="0" w:color="000000"/>
            </w:tcBorders>
            <w:shd w:val="clear" w:color="000000" w:fill="A6A6A6"/>
            <w:noWrap/>
            <w:vAlign w:val="bottom"/>
            <w:hideMark/>
          </w:tcPr>
          <w:p w:rsidR="00C75FF4" w:rsidRPr="00C75FF4" w:rsidRDefault="00C75FF4"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Anticoagulant Agents</w:t>
            </w:r>
          </w:p>
        </w:tc>
      </w:tr>
      <w:tr w:rsidR="002D7445" w:rsidRPr="00C75FF4" w:rsidTr="00B74398">
        <w:trPr>
          <w:trHeight w:val="2820"/>
        </w:trPr>
        <w:tc>
          <w:tcPr>
            <w:tcW w:w="644" w:type="dxa"/>
            <w:tcBorders>
              <w:top w:val="nil"/>
              <w:left w:val="single" w:sz="4" w:space="0" w:color="auto"/>
              <w:bottom w:val="single" w:sz="4" w:space="0" w:color="auto"/>
              <w:right w:val="single" w:sz="4" w:space="0" w:color="auto"/>
            </w:tcBorders>
            <w:shd w:val="clear" w:color="auto" w:fill="EAF1DD" w:themeFill="accent3" w:themeFillTint="33"/>
            <w:textDirection w:val="btLr"/>
            <w:vAlign w:val="bottom"/>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Unfractiona</w:t>
            </w:r>
            <w:r w:rsidRPr="00C75FF4">
              <w:rPr>
                <w:rFonts w:ascii="Calibri" w:eastAsia="Times New Roman" w:hAnsi="Calibri" w:cs="Calibri"/>
                <w:color w:val="000000"/>
                <w:sz w:val="20"/>
                <w:szCs w:val="20"/>
              </w:rPr>
              <w:t>ted Heparin (UFH)</w:t>
            </w:r>
          </w:p>
        </w:tc>
        <w:tc>
          <w:tcPr>
            <w:tcW w:w="271" w:type="dxa"/>
            <w:tcBorders>
              <w:top w:val="nil"/>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2D7445" w:rsidRPr="00C75FF4" w:rsidRDefault="002D7445" w:rsidP="002D7445">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IV</w:t>
            </w:r>
          </w:p>
        </w:tc>
        <w:tc>
          <w:tcPr>
            <w:tcW w:w="1260" w:type="dxa"/>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vertAlign w:val="superscript"/>
              </w:rPr>
            </w:pPr>
            <w:r w:rsidRPr="00407A6C">
              <w:rPr>
                <w:rFonts w:ascii="Calibri" w:eastAsia="Times New Roman" w:hAnsi="Calibri" w:cs="Calibri"/>
                <w:color w:val="000000"/>
                <w:sz w:val="17"/>
                <w:szCs w:val="17"/>
              </w:rPr>
              <w:t xml:space="preserve">Heparin </w:t>
            </w:r>
            <w:r w:rsidRPr="00407A6C">
              <w:rPr>
                <w:rFonts w:ascii="Calibri" w:eastAsia="Times New Roman" w:hAnsi="Calibri" w:cs="Calibri"/>
                <w:color w:val="000000"/>
                <w:sz w:val="17"/>
                <w:szCs w:val="17"/>
                <w:vertAlign w:val="superscript"/>
              </w:rPr>
              <w:t>1,2</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Enhances antithrombin-associated inhibition of factor Xa &amp; thrombin</w:t>
            </w:r>
          </w:p>
          <w:p w:rsidR="002D7445" w:rsidRPr="00407A6C" w:rsidRDefault="002D7445" w:rsidP="0091195B">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Also inhibits conversion of prothrombin to thrombin &amp; prevents formation of stable fibrin clot by inhibiting activation of fibrin stabilizing factor</w:t>
            </w:r>
          </w:p>
        </w:tc>
        <w:tc>
          <w:tcPr>
            <w:tcW w:w="1440" w:type="dxa"/>
            <w:gridSpan w:val="3"/>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Removed by the </w:t>
            </w:r>
            <w:proofErr w:type="spellStart"/>
            <w:r w:rsidRPr="00407A6C">
              <w:rPr>
                <w:rFonts w:ascii="Calibri" w:eastAsia="Times New Roman" w:hAnsi="Calibri" w:cs="Calibri"/>
                <w:color w:val="000000"/>
                <w:sz w:val="17"/>
                <w:szCs w:val="17"/>
              </w:rPr>
              <w:t>reticuloendothelial</w:t>
            </w:r>
            <w:proofErr w:type="spellEnd"/>
            <w:r w:rsidRPr="00407A6C">
              <w:rPr>
                <w:rFonts w:ascii="Calibri" w:eastAsia="Times New Roman" w:hAnsi="Calibri" w:cs="Calibri"/>
                <w:color w:val="000000"/>
                <w:sz w:val="17"/>
                <w:szCs w:val="17"/>
              </w:rPr>
              <w:t xml:space="preserve"> system; some hepatic &amp; renal clearance</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T </w:t>
            </w:r>
            <w:r w:rsidRPr="00407A6C">
              <w:rPr>
                <w:rFonts w:ascii="Calibri" w:eastAsia="Times New Roman" w:hAnsi="Calibri" w:cs="Calibri"/>
                <w:color w:val="000000"/>
                <w:sz w:val="17"/>
                <w:szCs w:val="17"/>
                <w:vertAlign w:val="subscript"/>
              </w:rPr>
              <w:t>1/2</w:t>
            </w:r>
            <w:r w:rsidRPr="00407A6C">
              <w:rPr>
                <w:rFonts w:ascii="Calibri" w:eastAsia="Times New Roman" w:hAnsi="Calibri" w:cs="Calibri"/>
                <w:color w:val="000000"/>
                <w:sz w:val="17"/>
                <w:szCs w:val="17"/>
              </w:rPr>
              <w:t>: 1 to 2 hours (increased with higher doses);</w:t>
            </w:r>
          </w:p>
          <w:p w:rsidR="002D7445" w:rsidRPr="00407A6C"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Several hours</w:t>
            </w: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Default="002D7445" w:rsidP="00A50F94">
            <w:pPr>
              <w:spacing w:after="0" w:line="240" w:lineRule="auto"/>
              <w:rPr>
                <w:rFonts w:ascii="Calibri" w:eastAsia="Times New Roman" w:hAnsi="Calibri" w:cs="Calibri"/>
                <w:color w:val="000000"/>
                <w:sz w:val="17"/>
                <w:szCs w:val="17"/>
              </w:rPr>
            </w:pPr>
          </w:p>
          <w:p w:rsidR="002D7445"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Prophylaxis &amp; treatment of:</w:t>
            </w:r>
          </w:p>
          <w:p w:rsidR="002D7445" w:rsidRPr="00407A6C" w:rsidRDefault="002D7445" w:rsidP="00807B1C">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Venous thrombosis &amp; its extensions</w:t>
            </w:r>
          </w:p>
          <w:p w:rsidR="002D7445" w:rsidRPr="00407A6C" w:rsidRDefault="002D7445" w:rsidP="00807B1C">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PE</w:t>
            </w:r>
          </w:p>
          <w:p w:rsidR="002D7445" w:rsidRPr="00407A6C" w:rsidRDefault="002D7445" w:rsidP="00807B1C">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Peripheral arterial embolism</w:t>
            </w:r>
          </w:p>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AF with embolism</w:t>
            </w:r>
          </w:p>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Diagnosis &amp; treatment of DIC</w:t>
            </w: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Anti-factor Xa heparin assay, </w:t>
            </w:r>
          </w:p>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aPTT, and/or</w:t>
            </w:r>
          </w:p>
          <w:p w:rsidR="002D7445" w:rsidRPr="00407A6C" w:rsidRDefault="002D7445" w:rsidP="00807B1C">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While blood activated clotting time (ACT)</w:t>
            </w: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r>
              <w:rPr>
                <w:rFonts w:ascii="Calibri" w:eastAsia="Times New Roman" w:hAnsi="Calibri" w:cs="Calibri"/>
                <w:color w:val="C00000"/>
                <w:sz w:val="17"/>
                <w:szCs w:val="17"/>
              </w:rPr>
              <w:t xml:space="preserve"> &amp; </w:t>
            </w:r>
          </w:p>
          <w:p w:rsidR="002D7445" w:rsidRPr="00480F9E" w:rsidRDefault="002D7445" w:rsidP="00A50F94">
            <w:pPr>
              <w:spacing w:after="0" w:line="240" w:lineRule="auto"/>
              <w:rPr>
                <w:rFonts w:ascii="Calibri" w:eastAsia="Times New Roman" w:hAnsi="Calibri" w:cs="Calibri"/>
                <w:color w:val="C00000"/>
                <w:sz w:val="17"/>
                <w:szCs w:val="17"/>
              </w:rPr>
            </w:pPr>
            <w:r>
              <w:rPr>
                <w:rFonts w:ascii="Calibri" w:eastAsia="Times New Roman" w:hAnsi="Calibri" w:cs="Calibri"/>
                <w:color w:val="C00000"/>
                <w:sz w:val="17"/>
                <w:szCs w:val="17"/>
              </w:rPr>
              <w:t>Reverses with Heparinase</w:t>
            </w: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p>
          <w:p w:rsidR="002D7445" w:rsidRPr="00407A6C" w:rsidRDefault="002D7445" w:rsidP="00A50F9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Protamine sulfate</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Note: T</w:t>
            </w:r>
            <w:r>
              <w:rPr>
                <w:rFonts w:ascii="Calibri" w:eastAsia="Times New Roman" w:hAnsi="Calibri" w:cs="Calibri"/>
                <w:color w:val="000000"/>
                <w:sz w:val="17"/>
                <w:szCs w:val="17"/>
              </w:rPr>
              <w:t>he transfusion of plasma has no</w:t>
            </w:r>
            <w:r w:rsidRPr="00407A6C">
              <w:rPr>
                <w:rFonts w:ascii="Calibri" w:eastAsia="Times New Roman" w:hAnsi="Calibri" w:cs="Calibri"/>
                <w:color w:val="000000"/>
                <w:sz w:val="17"/>
                <w:szCs w:val="17"/>
              </w:rPr>
              <w:t xml:space="preserve"> role in drug reversal</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r>
      <w:tr w:rsidR="002D7445" w:rsidRPr="00C75FF4" w:rsidTr="00B74398">
        <w:trPr>
          <w:trHeight w:val="612"/>
        </w:trPr>
        <w:tc>
          <w:tcPr>
            <w:tcW w:w="64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bottom"/>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Low Molecular Weight Heparins</w:t>
            </w:r>
          </w:p>
        </w:tc>
        <w:tc>
          <w:tcPr>
            <w:tcW w:w="271" w:type="dxa"/>
            <w:tcBorders>
              <w:top w:val="single" w:sz="4" w:space="0" w:color="auto"/>
              <w:left w:val="single" w:sz="4" w:space="0" w:color="auto"/>
              <w:right w:val="single" w:sz="4" w:space="0" w:color="auto"/>
            </w:tcBorders>
            <w:shd w:val="clear" w:color="auto" w:fill="EAF1DD" w:themeFill="accent3" w:themeFillTint="33"/>
            <w:noWrap/>
            <w:textDirection w:val="btLr"/>
            <w:vAlign w:val="center"/>
            <w:hideMark/>
          </w:tcPr>
          <w:p w:rsidR="002D7445" w:rsidRPr="00431EE5" w:rsidRDefault="002D7445" w:rsidP="002D7445">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Subcutaneous</w:t>
            </w:r>
          </w:p>
        </w:tc>
        <w:tc>
          <w:tcPr>
            <w:tcW w:w="1260" w:type="dxa"/>
            <w:tcBorders>
              <w:top w:val="nil"/>
              <w:left w:val="nil"/>
              <w:bottom w:val="single" w:sz="4" w:space="0" w:color="auto"/>
              <w:right w:val="single" w:sz="4" w:space="0" w:color="auto"/>
            </w:tcBorders>
            <w:shd w:val="clear" w:color="auto" w:fill="auto"/>
            <w:vAlign w:val="bottom"/>
            <w:hideMark/>
          </w:tcPr>
          <w:p w:rsidR="002D7445" w:rsidRPr="00431EE5" w:rsidRDefault="002D7445" w:rsidP="00C75FF4">
            <w:pPr>
              <w:spacing w:after="0" w:line="240" w:lineRule="auto"/>
              <w:rPr>
                <w:rFonts w:ascii="Calibri" w:eastAsia="Times New Roman" w:hAnsi="Calibri" w:cs="Calibri"/>
                <w:color w:val="000000"/>
                <w:sz w:val="17"/>
                <w:szCs w:val="17"/>
                <w:vertAlign w:val="superscript"/>
              </w:rPr>
            </w:pPr>
            <w:proofErr w:type="spellStart"/>
            <w:r w:rsidRPr="00431EE5">
              <w:rPr>
                <w:rFonts w:ascii="Calibri" w:eastAsia="Times New Roman" w:hAnsi="Calibri" w:cs="Calibri"/>
                <w:color w:val="000000"/>
                <w:sz w:val="17"/>
                <w:szCs w:val="17"/>
              </w:rPr>
              <w:t>Dalteparin</w:t>
            </w:r>
            <w:proofErr w:type="spellEnd"/>
            <w:r w:rsidRPr="00431EE5">
              <w:rPr>
                <w:rFonts w:ascii="Calibri" w:eastAsia="Times New Roman" w:hAnsi="Calibri" w:cs="Calibri"/>
                <w:color w:val="000000"/>
                <w:sz w:val="17"/>
                <w:szCs w:val="17"/>
              </w:rPr>
              <w:t xml:space="preserve"> (</w:t>
            </w:r>
            <w:proofErr w:type="spellStart"/>
            <w:r w:rsidRPr="00431EE5">
              <w:rPr>
                <w:rFonts w:ascii="Calibri" w:eastAsia="Times New Roman" w:hAnsi="Calibri" w:cs="Calibri"/>
                <w:color w:val="000000"/>
                <w:sz w:val="17"/>
                <w:szCs w:val="17"/>
              </w:rPr>
              <w:t>Fragmin</w:t>
            </w:r>
            <w:proofErr w:type="spellEnd"/>
            <w:r w:rsidRPr="00431EE5">
              <w:rPr>
                <w:rFonts w:ascii="Calibri" w:eastAsia="Times New Roman" w:hAnsi="Calibri" w:cs="Calibri"/>
                <w:color w:val="000000"/>
                <w:sz w:val="17"/>
                <w:szCs w:val="17"/>
              </w:rPr>
              <w:t xml:space="preserve">) </w:t>
            </w:r>
            <w:r w:rsidRPr="00431EE5">
              <w:rPr>
                <w:rFonts w:ascii="Calibri" w:eastAsia="Times New Roman" w:hAnsi="Calibri" w:cs="Calibri"/>
                <w:color w:val="000000"/>
                <w:sz w:val="17"/>
                <w:szCs w:val="17"/>
                <w:vertAlign w:val="superscript"/>
              </w:rPr>
              <w:t>1,3</w:t>
            </w: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Enhances antithrombin-associated inhibition of factor Xa &amp; thrombin</w:t>
            </w:r>
          </w:p>
          <w:p w:rsidR="002D7445" w:rsidRPr="00431EE5" w:rsidRDefault="002D7445" w:rsidP="00FD7557">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Drug’s effect on factor Xa exceeds effect on thrombin</w:t>
            </w:r>
          </w:p>
          <w:p w:rsidR="002D7445" w:rsidRPr="00431EE5" w:rsidRDefault="002D7445" w:rsidP="00D66342">
            <w:pPr>
              <w:spacing w:after="0" w:line="240" w:lineRule="auto"/>
              <w:rPr>
                <w:rFonts w:ascii="Calibri" w:eastAsia="Times New Roman" w:hAnsi="Calibri" w:cs="Calibri"/>
                <w:color w:val="000000"/>
                <w:sz w:val="17"/>
                <w:szCs w:val="17"/>
              </w:rPr>
            </w:pPr>
          </w:p>
          <w:p w:rsidR="002D7445" w:rsidRPr="00431EE5" w:rsidRDefault="002D7445" w:rsidP="00D66342">
            <w:pPr>
              <w:spacing w:after="0" w:line="240" w:lineRule="auto"/>
              <w:rPr>
                <w:rFonts w:ascii="Calibri" w:eastAsia="Times New Roman" w:hAnsi="Calibri" w:cs="Calibri"/>
                <w:color w:val="000000"/>
                <w:sz w:val="17"/>
                <w:szCs w:val="17"/>
              </w:rPr>
            </w:pPr>
          </w:p>
          <w:p w:rsidR="002D7445" w:rsidRPr="00431EE5" w:rsidRDefault="002D7445" w:rsidP="00D66342">
            <w:pPr>
              <w:spacing w:after="0" w:line="240" w:lineRule="auto"/>
              <w:rPr>
                <w:rFonts w:ascii="Calibri" w:eastAsia="Times New Roman" w:hAnsi="Calibri" w:cs="Calibri"/>
                <w:color w:val="000000"/>
                <w:sz w:val="17"/>
                <w:szCs w:val="17"/>
              </w:rPr>
            </w:pPr>
          </w:p>
          <w:p w:rsidR="002D7445" w:rsidRPr="00431EE5" w:rsidRDefault="002D7445" w:rsidP="00D66342">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2D7445" w:rsidRPr="00431EE5" w:rsidRDefault="002D7445"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Primarily renal</w:t>
            </w: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p w:rsidR="002D7445" w:rsidRPr="00431EE5"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 T </w:t>
            </w:r>
            <w:r w:rsidRPr="00431EE5">
              <w:rPr>
                <w:rFonts w:ascii="Calibri" w:eastAsia="Times New Roman" w:hAnsi="Calibri" w:cs="Calibri"/>
                <w:color w:val="000000"/>
                <w:sz w:val="17"/>
                <w:szCs w:val="17"/>
                <w:vertAlign w:val="subscript"/>
              </w:rPr>
              <w:t>1/2</w:t>
            </w:r>
            <w:r w:rsidRPr="00431EE5">
              <w:rPr>
                <w:rFonts w:ascii="Calibri" w:eastAsia="Times New Roman" w:hAnsi="Calibri" w:cs="Calibri"/>
                <w:color w:val="000000"/>
                <w:sz w:val="17"/>
                <w:szCs w:val="17"/>
              </w:rPr>
              <w:t>: 3 to 5 hours with normal renal function</w:t>
            </w:r>
          </w:p>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Duration: 10 to 12 hours</w:t>
            </w:r>
          </w:p>
          <w:p w:rsidR="002D7445" w:rsidRPr="00431EE5" w:rsidRDefault="002D7445" w:rsidP="00A50F94">
            <w:pPr>
              <w:spacing w:after="0" w:line="240" w:lineRule="auto"/>
              <w:rPr>
                <w:rFonts w:ascii="Calibri" w:eastAsia="Times New Roman" w:hAnsi="Calibri" w:cs="Calibri"/>
                <w:color w:val="000000"/>
                <w:sz w:val="17"/>
                <w:szCs w:val="17"/>
              </w:rPr>
            </w:pPr>
          </w:p>
          <w:p w:rsidR="002D7445" w:rsidRPr="00431EE5" w:rsidRDefault="002D7445" w:rsidP="00A50F94">
            <w:pPr>
              <w:spacing w:after="0" w:line="240" w:lineRule="auto"/>
              <w:rPr>
                <w:rFonts w:ascii="Calibri" w:eastAsia="Times New Roman" w:hAnsi="Calibri" w:cs="Calibri"/>
                <w:color w:val="000000"/>
                <w:sz w:val="17"/>
                <w:szCs w:val="17"/>
              </w:rPr>
            </w:pPr>
          </w:p>
          <w:p w:rsidR="002D7445" w:rsidRPr="00431EE5" w:rsidRDefault="002D7445" w:rsidP="00A50F94">
            <w:pPr>
              <w:spacing w:after="0" w:line="240" w:lineRule="auto"/>
              <w:rPr>
                <w:rFonts w:ascii="Calibri" w:eastAsia="Times New Roman" w:hAnsi="Calibri" w:cs="Calibri"/>
                <w:color w:val="000000"/>
                <w:sz w:val="17"/>
                <w:szCs w:val="17"/>
              </w:rPr>
            </w:pPr>
          </w:p>
          <w:p w:rsidR="002D7445" w:rsidRPr="00431EE5" w:rsidRDefault="002D7445" w:rsidP="00A50F94">
            <w:pPr>
              <w:spacing w:after="0" w:line="240" w:lineRule="auto"/>
              <w:rPr>
                <w:rFonts w:ascii="Calibri" w:eastAsia="Times New Roman" w:hAnsi="Calibri" w:cs="Calibri"/>
                <w:color w:val="000000"/>
                <w:sz w:val="17"/>
                <w:szCs w:val="17"/>
              </w:rPr>
            </w:pPr>
          </w:p>
          <w:p w:rsidR="002D7445" w:rsidRPr="00431EE5" w:rsidRDefault="002D7445" w:rsidP="00A50F94">
            <w:pPr>
              <w:spacing w:after="0" w:line="240" w:lineRule="auto"/>
              <w:rPr>
                <w:rFonts w:ascii="Calibri" w:eastAsia="Times New Roman" w:hAnsi="Calibri" w:cs="Calibri"/>
                <w:color w:val="000000"/>
                <w:sz w:val="17"/>
                <w:szCs w:val="17"/>
              </w:rPr>
            </w:pPr>
          </w:p>
          <w:p w:rsidR="002D7445" w:rsidRPr="00431EE5" w:rsidRDefault="002D7445" w:rsidP="00A50F94">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Prophylaxis of:</w:t>
            </w:r>
          </w:p>
          <w:p w:rsidR="002D7445" w:rsidRPr="00431EE5" w:rsidRDefault="002D7445" w:rsidP="006471F9">
            <w:pPr>
              <w:pStyle w:val="ListParagraph"/>
              <w:numPr>
                <w:ilvl w:val="1"/>
                <w:numId w:val="7"/>
              </w:numPr>
              <w:spacing w:after="0" w:line="240" w:lineRule="auto"/>
              <w:ind w:left="792"/>
              <w:rPr>
                <w:rFonts w:ascii="Calibri" w:eastAsia="Times New Roman" w:hAnsi="Calibri" w:cs="Calibri"/>
                <w:color w:val="000000"/>
                <w:sz w:val="17"/>
                <w:szCs w:val="17"/>
              </w:rPr>
            </w:pPr>
            <w:r w:rsidRPr="00431EE5">
              <w:rPr>
                <w:rFonts w:ascii="Calibri" w:eastAsia="Times New Roman" w:hAnsi="Calibri" w:cs="Calibri"/>
                <w:color w:val="000000"/>
                <w:sz w:val="17"/>
                <w:szCs w:val="17"/>
              </w:rPr>
              <w:t>Ischemic complications in unstable angina &amp; non-Q-wave MI</w:t>
            </w:r>
          </w:p>
          <w:p w:rsidR="002D7445" w:rsidRPr="00431EE5" w:rsidRDefault="002D7445" w:rsidP="006471F9">
            <w:pPr>
              <w:pStyle w:val="ListParagraph"/>
              <w:numPr>
                <w:ilvl w:val="1"/>
                <w:numId w:val="7"/>
              </w:numPr>
              <w:spacing w:after="0" w:line="240" w:lineRule="auto"/>
              <w:ind w:left="792"/>
              <w:rPr>
                <w:rFonts w:ascii="Calibri" w:eastAsia="Times New Roman" w:hAnsi="Calibri" w:cs="Calibri"/>
                <w:color w:val="000000"/>
                <w:sz w:val="17"/>
                <w:szCs w:val="17"/>
              </w:rPr>
            </w:pPr>
            <w:r w:rsidRPr="00431EE5">
              <w:rPr>
                <w:rFonts w:ascii="Calibri" w:eastAsia="Times New Roman" w:hAnsi="Calibri" w:cs="Calibri"/>
                <w:color w:val="000000"/>
                <w:sz w:val="17"/>
                <w:szCs w:val="17"/>
              </w:rPr>
              <w:t>DVTs in selected patients</w:t>
            </w:r>
          </w:p>
          <w:p w:rsidR="002D7445" w:rsidRPr="00431EE5" w:rsidRDefault="002D7445" w:rsidP="008139D4">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Extended treatment of symptomatic DVTs &amp; PEs in cancer patients</w:t>
            </w:r>
          </w:p>
          <w:p w:rsidR="002D7445" w:rsidRPr="00431EE5" w:rsidRDefault="002D7445" w:rsidP="00D66342">
            <w:pPr>
              <w:spacing w:after="0" w:line="240" w:lineRule="auto"/>
              <w:rPr>
                <w:rFonts w:ascii="Calibri" w:eastAsia="Times New Roman" w:hAnsi="Calibri" w:cs="Calibri"/>
                <w:color w:val="000000"/>
                <w:sz w:val="17"/>
                <w:szCs w:val="17"/>
              </w:rPr>
            </w:pPr>
          </w:p>
          <w:p w:rsidR="002D7445" w:rsidRPr="00431EE5" w:rsidRDefault="002D7445" w:rsidP="00D66342">
            <w:pPr>
              <w:spacing w:after="0" w:line="240" w:lineRule="auto"/>
              <w:rPr>
                <w:rFonts w:ascii="Calibri" w:eastAsia="Times New Roman" w:hAnsi="Calibri" w:cs="Calibri"/>
                <w:color w:val="000000"/>
                <w:sz w:val="17"/>
                <w:szCs w:val="17"/>
              </w:rPr>
            </w:pPr>
          </w:p>
          <w:p w:rsidR="002D7445" w:rsidRPr="00431EE5" w:rsidRDefault="002D7445" w:rsidP="00D66342">
            <w:pPr>
              <w:spacing w:after="0" w:line="240" w:lineRule="auto"/>
              <w:rPr>
                <w:rFonts w:ascii="Calibri" w:eastAsia="Times New Roman" w:hAnsi="Calibri" w:cs="Calibri"/>
                <w:color w:val="000000"/>
                <w:sz w:val="17"/>
                <w:szCs w:val="17"/>
              </w:rPr>
            </w:pPr>
          </w:p>
          <w:p w:rsidR="002D7445" w:rsidRPr="00431EE5" w:rsidRDefault="002D7445" w:rsidP="00D66342">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Usually not required</w:t>
            </w:r>
          </w:p>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When necessary, use anti-factor Xa heparin assay</w:t>
            </w:r>
          </w:p>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The aPTT is not useful </w:t>
            </w:r>
          </w:p>
          <w:p w:rsidR="002D7445" w:rsidRPr="00431EE5" w:rsidRDefault="002D7445" w:rsidP="00FD7557">
            <w:pPr>
              <w:spacing w:after="0" w:line="240" w:lineRule="auto"/>
              <w:rPr>
                <w:rFonts w:ascii="Calibri" w:eastAsia="Times New Roman" w:hAnsi="Calibri" w:cs="Calibri"/>
                <w:color w:val="000000"/>
                <w:sz w:val="17"/>
                <w:szCs w:val="17"/>
              </w:rPr>
            </w:pPr>
          </w:p>
          <w:p w:rsidR="002D7445" w:rsidRPr="00431EE5" w:rsidRDefault="002D7445" w:rsidP="00480F9E">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C00000"/>
                <w:sz w:val="17"/>
                <w:szCs w:val="17"/>
              </w:rPr>
              <w:t xml:space="preserve">TEG – Increase R &amp; </w:t>
            </w:r>
          </w:p>
          <w:p w:rsidR="002D7445" w:rsidRPr="00431EE5" w:rsidRDefault="002D7445" w:rsidP="00480F9E">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C00000"/>
                <w:sz w:val="17"/>
                <w:szCs w:val="17"/>
              </w:rPr>
              <w:t>Reverses with Heparinase</w:t>
            </w:r>
          </w:p>
          <w:p w:rsidR="002D7445" w:rsidRPr="00431EE5" w:rsidRDefault="002D7445" w:rsidP="00FD7557">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2D7445" w:rsidRPr="00431EE5" w:rsidRDefault="002D7445" w:rsidP="006471F9">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Protamine (though not as effective as with UFH)</w:t>
            </w: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Note: The transfusion of plasma has no role in drug reversal</w:t>
            </w: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p>
          <w:p w:rsidR="002D7445" w:rsidRPr="00431EE5" w:rsidRDefault="002D7445" w:rsidP="006471F9">
            <w:pPr>
              <w:spacing w:after="0" w:line="240" w:lineRule="auto"/>
              <w:rPr>
                <w:rFonts w:ascii="Calibri" w:eastAsia="Times New Roman" w:hAnsi="Calibri" w:cs="Calibri"/>
                <w:color w:val="000000"/>
                <w:sz w:val="17"/>
                <w:szCs w:val="17"/>
              </w:rPr>
            </w:pPr>
          </w:p>
        </w:tc>
      </w:tr>
      <w:tr w:rsidR="002D7445" w:rsidRPr="00C75FF4" w:rsidTr="00B74398">
        <w:trPr>
          <w:trHeight w:val="530"/>
        </w:trPr>
        <w:tc>
          <w:tcPr>
            <w:tcW w:w="644" w:type="dxa"/>
            <w:vMerge/>
            <w:tcBorders>
              <w:top w:val="single" w:sz="4" w:space="0" w:color="000000"/>
              <w:left w:val="single" w:sz="4" w:space="0" w:color="auto"/>
              <w:bottom w:val="single" w:sz="4" w:space="0" w:color="auto"/>
              <w:right w:val="single" w:sz="4" w:space="0" w:color="auto"/>
            </w:tcBorders>
            <w:shd w:val="clear" w:color="auto" w:fill="EAF1DD" w:themeFill="accent3" w:themeFillTint="33"/>
            <w:vAlign w:val="center"/>
            <w:hideMark/>
          </w:tcPr>
          <w:p w:rsidR="002D7445" w:rsidRPr="00C75FF4" w:rsidRDefault="002D7445" w:rsidP="00C75FF4">
            <w:pPr>
              <w:spacing w:after="0" w:line="240" w:lineRule="auto"/>
              <w:rPr>
                <w:rFonts w:ascii="Calibri" w:eastAsia="Times New Roman" w:hAnsi="Calibri" w:cs="Calibri"/>
                <w:color w:val="000000"/>
                <w:sz w:val="20"/>
                <w:szCs w:val="20"/>
              </w:rPr>
            </w:pPr>
          </w:p>
        </w:tc>
        <w:tc>
          <w:tcPr>
            <w:tcW w:w="271" w:type="dxa"/>
            <w:tcBorders>
              <w:top w:val="nil"/>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2D7445" w:rsidRPr="00C75FF4" w:rsidRDefault="002D7445" w:rsidP="002D7445">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Subcutaneous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vertAlign w:val="superscript"/>
              </w:rPr>
            </w:pPr>
            <w:r w:rsidRPr="00407A6C">
              <w:rPr>
                <w:rFonts w:ascii="Calibri" w:eastAsia="Times New Roman" w:hAnsi="Calibri" w:cs="Calibri"/>
                <w:color w:val="000000"/>
                <w:sz w:val="17"/>
                <w:szCs w:val="17"/>
              </w:rPr>
              <w:t>Enoxaparin (</w:t>
            </w:r>
            <w:proofErr w:type="spellStart"/>
            <w:r w:rsidRPr="00407A6C">
              <w:rPr>
                <w:rFonts w:ascii="Calibri" w:eastAsia="Times New Roman" w:hAnsi="Calibri" w:cs="Calibri"/>
                <w:color w:val="000000"/>
                <w:sz w:val="17"/>
                <w:szCs w:val="17"/>
              </w:rPr>
              <w:t>Lovenox</w:t>
            </w:r>
            <w:proofErr w:type="spellEnd"/>
            <w:r w:rsidRPr="00407A6C">
              <w:rPr>
                <w:rFonts w:ascii="Calibri" w:eastAsia="Times New Roman" w:hAnsi="Calibri" w:cs="Calibri"/>
                <w:color w:val="000000"/>
                <w:sz w:val="17"/>
                <w:szCs w:val="17"/>
              </w:rPr>
              <w:t xml:space="preserve">) </w:t>
            </w:r>
            <w:r w:rsidRPr="00407A6C">
              <w:rPr>
                <w:rFonts w:ascii="Calibri" w:eastAsia="Times New Roman" w:hAnsi="Calibri" w:cs="Calibri"/>
                <w:color w:val="000000"/>
                <w:sz w:val="17"/>
                <w:szCs w:val="17"/>
                <w:vertAlign w:val="superscript"/>
              </w:rPr>
              <w:t>1,4</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7900C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Enhances antithrombin-associated inhibition of factor Xa &amp; thrombin</w:t>
            </w:r>
          </w:p>
          <w:p w:rsidR="002D7445" w:rsidRPr="00407A6C" w:rsidRDefault="002D7445" w:rsidP="007900C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Drug’s effect on factor Xa exceeds effect on thrombin</w:t>
            </w: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Primarily renal</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7900C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 T </w:t>
            </w:r>
            <w:r w:rsidRPr="00407A6C">
              <w:rPr>
                <w:rFonts w:ascii="Calibri" w:eastAsia="Times New Roman" w:hAnsi="Calibri" w:cs="Calibri"/>
                <w:color w:val="000000"/>
                <w:sz w:val="17"/>
                <w:szCs w:val="17"/>
                <w:vertAlign w:val="subscript"/>
              </w:rPr>
              <w:t>1/2</w:t>
            </w:r>
            <w:r w:rsidRPr="00407A6C">
              <w:rPr>
                <w:rFonts w:ascii="Calibri" w:eastAsia="Times New Roman" w:hAnsi="Calibri" w:cs="Calibri"/>
                <w:color w:val="000000"/>
                <w:sz w:val="17"/>
                <w:szCs w:val="17"/>
              </w:rPr>
              <w:t>: Up to 7 hours with normal renal function</w:t>
            </w:r>
          </w:p>
          <w:p w:rsidR="002D7445" w:rsidRPr="00407A6C" w:rsidRDefault="002D7445" w:rsidP="007900C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approx. 12 hours</w:t>
            </w: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610CF8">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Prophylaxis of:</w:t>
            </w:r>
          </w:p>
          <w:p w:rsidR="002D7445" w:rsidRPr="00431EE5" w:rsidRDefault="002D7445" w:rsidP="00610CF8">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Ischemic complications in </w:t>
            </w:r>
            <w:r w:rsidRPr="00431EE5">
              <w:rPr>
                <w:rFonts w:ascii="Calibri" w:eastAsia="Times New Roman" w:hAnsi="Calibri" w:cs="Calibri"/>
                <w:color w:val="000000"/>
                <w:sz w:val="17"/>
                <w:szCs w:val="17"/>
              </w:rPr>
              <w:t>unstable angina &amp; non-Q-wave MI</w:t>
            </w:r>
          </w:p>
          <w:p w:rsidR="002D7445" w:rsidRPr="00431EE5" w:rsidRDefault="002D7445" w:rsidP="00610CF8">
            <w:pPr>
              <w:pStyle w:val="ListParagraph"/>
              <w:numPr>
                <w:ilvl w:val="1"/>
                <w:numId w:val="7"/>
              </w:numPr>
              <w:spacing w:after="0" w:line="240" w:lineRule="auto"/>
              <w:ind w:left="792"/>
              <w:rPr>
                <w:rFonts w:ascii="Calibri" w:eastAsia="Times New Roman" w:hAnsi="Calibri" w:cs="Calibri"/>
                <w:color w:val="000000"/>
                <w:sz w:val="17"/>
                <w:szCs w:val="17"/>
              </w:rPr>
            </w:pPr>
            <w:r w:rsidRPr="00431EE5">
              <w:rPr>
                <w:rFonts w:ascii="Calibri" w:eastAsia="Times New Roman" w:hAnsi="Calibri" w:cs="Calibri"/>
                <w:color w:val="000000"/>
                <w:sz w:val="17"/>
                <w:szCs w:val="17"/>
              </w:rPr>
              <w:t>DVTs in selected patients</w:t>
            </w:r>
          </w:p>
          <w:p w:rsidR="002D7445" w:rsidRPr="00431EE5" w:rsidRDefault="002D7445" w:rsidP="00610CF8">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Inpatient treatment of acute DVTs (with or without PE)</w:t>
            </w:r>
          </w:p>
          <w:p w:rsidR="002D7445" w:rsidRPr="00407A6C" w:rsidRDefault="002D7445" w:rsidP="00610CF8">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Outpatient treatment of acute DVTs (without PE)</w:t>
            </w:r>
          </w:p>
          <w:p w:rsidR="002D7445" w:rsidRPr="00407A6C" w:rsidRDefault="002D7445" w:rsidP="00AB4B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Treatment of acute ST-segment elevation MI managed medically or with subsequent PCI</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2C40EA">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Usually not required</w:t>
            </w:r>
          </w:p>
          <w:p w:rsidR="002D7445" w:rsidRPr="00407A6C" w:rsidRDefault="002D7445" w:rsidP="002C40EA">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When necessary, use anti-factor Xa heparin assay</w:t>
            </w:r>
          </w:p>
          <w:p w:rsidR="002D7445" w:rsidRPr="00407A6C" w:rsidRDefault="002D7445" w:rsidP="002C40EA">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The aPTT is not useful</w:t>
            </w: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480F9E">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r>
              <w:rPr>
                <w:rFonts w:ascii="Calibri" w:eastAsia="Times New Roman" w:hAnsi="Calibri" w:cs="Calibri"/>
                <w:color w:val="C00000"/>
                <w:sz w:val="17"/>
                <w:szCs w:val="17"/>
              </w:rPr>
              <w:t xml:space="preserve"> &amp; </w:t>
            </w:r>
          </w:p>
          <w:p w:rsidR="002D7445" w:rsidRPr="00407A6C" w:rsidRDefault="002D7445"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C00000"/>
                <w:sz w:val="17"/>
                <w:szCs w:val="17"/>
              </w:rPr>
              <w:t>Reverses with Heparinase</w:t>
            </w:r>
          </w:p>
          <w:p w:rsidR="002D7445" w:rsidRPr="00407A6C" w:rsidRDefault="002D7445" w:rsidP="002C40EA">
            <w:pPr>
              <w:spacing w:after="0" w:line="240" w:lineRule="auto"/>
              <w:rPr>
                <w:rFonts w:ascii="Calibri" w:eastAsia="Times New Roman" w:hAnsi="Calibri" w:cs="Calibri"/>
                <w:color w:val="000000"/>
                <w:sz w:val="17"/>
                <w:szCs w:val="17"/>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445" w:rsidRPr="00431EE5" w:rsidRDefault="002D7445" w:rsidP="002C40EA">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Protamine (though not as effective as with UFH)</w:t>
            </w:r>
          </w:p>
          <w:p w:rsidR="002D7445" w:rsidRPr="00407A6C" w:rsidRDefault="002D7445" w:rsidP="002C40EA">
            <w:pPr>
              <w:spacing w:after="0" w:line="240" w:lineRule="auto"/>
              <w:rPr>
                <w:rFonts w:ascii="Calibri" w:eastAsia="Times New Roman" w:hAnsi="Calibri" w:cs="Calibri"/>
                <w:color w:val="000000"/>
                <w:sz w:val="17"/>
                <w:szCs w:val="17"/>
              </w:rPr>
            </w:pPr>
          </w:p>
          <w:p w:rsidR="002D7445" w:rsidRPr="00407A6C" w:rsidRDefault="002D7445" w:rsidP="002C40EA">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Note: The transfusion of plasma has no role in drug reversal</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r>
      <w:tr w:rsidR="002D7445" w:rsidRPr="00BB0999" w:rsidTr="00480F9E">
        <w:trPr>
          <w:trHeight w:val="1061"/>
        </w:trPr>
        <w:tc>
          <w:tcPr>
            <w:tcW w:w="644" w:type="dxa"/>
            <w:tcBorders>
              <w:top w:val="single" w:sz="4" w:space="0" w:color="auto"/>
              <w:left w:val="single" w:sz="4" w:space="0" w:color="auto"/>
              <w:bottom w:val="single" w:sz="4" w:space="0" w:color="auto"/>
            </w:tcBorders>
            <w:vAlign w:val="center"/>
          </w:tcPr>
          <w:p w:rsidR="002D7445" w:rsidRPr="00BB0999" w:rsidRDefault="002D7445" w:rsidP="00C75FF4">
            <w:pPr>
              <w:spacing w:after="0" w:line="240" w:lineRule="auto"/>
              <w:rPr>
                <w:rFonts w:ascii="Calibri" w:eastAsia="Times New Roman" w:hAnsi="Calibri" w:cs="Calibri"/>
                <w:color w:val="000000"/>
                <w:sz w:val="17"/>
                <w:szCs w:val="17"/>
              </w:rPr>
            </w:pPr>
          </w:p>
        </w:tc>
        <w:tc>
          <w:tcPr>
            <w:tcW w:w="271" w:type="dxa"/>
            <w:tcBorders>
              <w:top w:val="single" w:sz="4" w:space="0" w:color="auto"/>
              <w:bottom w:val="single" w:sz="4" w:space="0" w:color="auto"/>
            </w:tcBorders>
            <w:shd w:val="clear" w:color="auto" w:fill="auto"/>
            <w:noWrap/>
            <w:vAlign w:val="bottom"/>
          </w:tcPr>
          <w:p w:rsidR="002D7445" w:rsidRPr="00BB0999" w:rsidRDefault="002D7445" w:rsidP="00C75FF4">
            <w:pPr>
              <w:spacing w:after="0" w:line="240" w:lineRule="auto"/>
              <w:rPr>
                <w:rFonts w:ascii="Calibri" w:eastAsia="Times New Roman" w:hAnsi="Calibri" w:cs="Calibri"/>
                <w:color w:val="000000"/>
                <w:sz w:val="17"/>
                <w:szCs w:val="17"/>
              </w:rPr>
            </w:pPr>
          </w:p>
        </w:tc>
        <w:tc>
          <w:tcPr>
            <w:tcW w:w="14220" w:type="dxa"/>
            <w:gridSpan w:val="20"/>
            <w:tcBorders>
              <w:top w:val="single" w:sz="4" w:space="0" w:color="auto"/>
              <w:bottom w:val="single" w:sz="4" w:space="0" w:color="auto"/>
              <w:right w:val="single" w:sz="4" w:space="0" w:color="auto"/>
            </w:tcBorders>
            <w:shd w:val="clear" w:color="auto" w:fill="auto"/>
            <w:vAlign w:val="bottom"/>
          </w:tcPr>
          <w:p w:rsidR="002D7445" w:rsidRPr="00BB0999" w:rsidRDefault="002D7445" w:rsidP="00C75FF4">
            <w:pPr>
              <w:spacing w:after="0" w:line="240" w:lineRule="auto"/>
              <w:rPr>
                <w:rFonts w:ascii="Calibri" w:eastAsia="Times New Roman" w:hAnsi="Calibri" w:cs="Calibri"/>
                <w:color w:val="000000"/>
                <w:sz w:val="17"/>
                <w:szCs w:val="17"/>
              </w:rPr>
            </w:pPr>
            <w:r w:rsidRPr="00BB0999">
              <w:rPr>
                <w:rFonts w:ascii="Calibri" w:eastAsia="Times New Roman" w:hAnsi="Calibri" w:cs="Calibri"/>
                <w:color w:val="000000"/>
                <w:sz w:val="17"/>
                <w:szCs w:val="17"/>
              </w:rPr>
              <w:t>Notes:</w:t>
            </w:r>
          </w:p>
          <w:p w:rsidR="002D7445" w:rsidRDefault="002D7445" w:rsidP="00BA25B0">
            <w:pPr>
              <w:pStyle w:val="ListParagraph"/>
              <w:numPr>
                <w:ilvl w:val="0"/>
                <w:numId w:val="7"/>
              </w:num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Other LMWH’s to</w:t>
            </w:r>
            <w:r>
              <w:rPr>
                <w:rFonts w:ascii="Calibri" w:eastAsia="Times New Roman" w:hAnsi="Calibri" w:cs="Calibri"/>
                <w:color w:val="000000"/>
                <w:sz w:val="17"/>
                <w:szCs w:val="17"/>
              </w:rPr>
              <w:t xml:space="preserve"> be aware of are</w:t>
            </w:r>
          </w:p>
          <w:p w:rsidR="002D7445" w:rsidRDefault="002D7445" w:rsidP="00BA25B0">
            <w:pPr>
              <w:pStyle w:val="ListParagraph"/>
              <w:numPr>
                <w:ilvl w:val="1"/>
                <w:numId w:val="7"/>
              </w:numPr>
              <w:spacing w:after="0" w:line="240" w:lineRule="auto"/>
              <w:ind w:left="1080"/>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Tinzaparin</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Innohep</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Logiparin</w:t>
            </w:r>
            <w:proofErr w:type="spellEnd"/>
            <w:r>
              <w:rPr>
                <w:rFonts w:ascii="Calibri" w:eastAsia="Times New Roman" w:hAnsi="Calibri" w:cs="Calibri"/>
                <w:color w:val="000000"/>
                <w:sz w:val="17"/>
                <w:szCs w:val="17"/>
              </w:rPr>
              <w:t>)</w:t>
            </w:r>
          </w:p>
          <w:p w:rsidR="002D7445" w:rsidRDefault="002D7445" w:rsidP="00C75FF4">
            <w:pPr>
              <w:pStyle w:val="ListParagraph"/>
              <w:numPr>
                <w:ilvl w:val="1"/>
                <w:numId w:val="7"/>
              </w:numPr>
              <w:spacing w:after="0" w:line="240" w:lineRule="auto"/>
              <w:ind w:left="1080"/>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Reviparin</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Clivarin</w:t>
            </w:r>
            <w:proofErr w:type="spellEnd"/>
            <w:r>
              <w:rPr>
                <w:rFonts w:ascii="Calibri" w:eastAsia="Times New Roman" w:hAnsi="Calibri" w:cs="Calibri"/>
                <w:color w:val="000000"/>
                <w:sz w:val="17"/>
                <w:szCs w:val="17"/>
              </w:rPr>
              <w:t>)</w:t>
            </w:r>
          </w:p>
          <w:p w:rsidR="002D7445" w:rsidRPr="00480F9E" w:rsidRDefault="002D7445" w:rsidP="00480F9E">
            <w:pPr>
              <w:pStyle w:val="ListParagraph"/>
              <w:numPr>
                <w:ilvl w:val="1"/>
                <w:numId w:val="7"/>
              </w:numPr>
              <w:spacing w:after="0" w:line="240" w:lineRule="auto"/>
              <w:ind w:left="1080"/>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Nadroparin</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Fraxiparin</w:t>
            </w:r>
            <w:proofErr w:type="spellEnd"/>
            <w:r>
              <w:rPr>
                <w:rFonts w:ascii="Calibri" w:eastAsia="Times New Roman" w:hAnsi="Calibri" w:cs="Calibri"/>
                <w:color w:val="000000"/>
                <w:sz w:val="17"/>
                <w:szCs w:val="17"/>
              </w:rPr>
              <w:t>)</w:t>
            </w:r>
          </w:p>
        </w:tc>
      </w:tr>
      <w:tr w:rsidR="002D7445" w:rsidRPr="00A95721" w:rsidTr="00B74398">
        <w:trPr>
          <w:trHeight w:val="890"/>
        </w:trPr>
        <w:tc>
          <w:tcPr>
            <w:tcW w:w="644" w:type="dxa"/>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2D7445" w:rsidRPr="00A95721" w:rsidRDefault="002D7445" w:rsidP="00480F91">
            <w:pPr>
              <w:spacing w:after="0" w:line="240" w:lineRule="auto"/>
              <w:jc w:val="right"/>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lastRenderedPageBreak/>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Agent</w:t>
            </w:r>
          </w:p>
        </w:tc>
        <w:tc>
          <w:tcPr>
            <w:tcW w:w="198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Clearance</w:t>
            </w:r>
          </w:p>
        </w:tc>
        <w:tc>
          <w:tcPr>
            <w:tcW w:w="1800" w:type="dxa"/>
            <w:gridSpan w:val="5"/>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Usual Half Life (t</w:t>
            </w:r>
            <w:r w:rsidRPr="00A95721">
              <w:rPr>
                <w:rFonts w:ascii="Calibri" w:eastAsia="Times New Roman" w:hAnsi="Calibri" w:cs="Calibri"/>
                <w:b/>
                <w:bCs/>
                <w:color w:val="000000"/>
                <w:sz w:val="20"/>
                <w:szCs w:val="20"/>
                <w:vertAlign w:val="subscript"/>
              </w:rPr>
              <w:t>1/2</w:t>
            </w:r>
            <w:r w:rsidRPr="00A95721">
              <w:rPr>
                <w:rFonts w:ascii="Calibri" w:eastAsia="Times New Roman" w:hAnsi="Calibri" w:cs="Calibri"/>
                <w:b/>
                <w:bCs/>
                <w:color w:val="000000"/>
                <w:sz w:val="20"/>
                <w:szCs w:val="20"/>
              </w:rPr>
              <w:t>) &amp; Duration of Effect</w:t>
            </w:r>
          </w:p>
        </w:tc>
        <w:tc>
          <w:tcPr>
            <w:tcW w:w="2970" w:type="dxa"/>
            <w:gridSpan w:val="4"/>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Most Common Indications</w:t>
            </w:r>
          </w:p>
        </w:tc>
        <w:tc>
          <w:tcPr>
            <w:tcW w:w="180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Monitoring Methods</w:t>
            </w:r>
          </w:p>
        </w:tc>
        <w:tc>
          <w:tcPr>
            <w:tcW w:w="297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A95721" w:rsidRDefault="002D7445" w:rsidP="00C75FF4">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Strategies for Rapid Reversal and/or Hemostatic Correction</w:t>
            </w:r>
          </w:p>
        </w:tc>
      </w:tr>
      <w:tr w:rsidR="002D7445" w:rsidRPr="00C75FF4" w:rsidTr="00B74398">
        <w:trPr>
          <w:trHeight w:val="1536"/>
        </w:trPr>
        <w:tc>
          <w:tcPr>
            <w:tcW w:w="644"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btLr"/>
            <w:vAlign w:val="center"/>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Factor Xa Inhibitors</w:t>
            </w:r>
          </w:p>
        </w:tc>
        <w:tc>
          <w:tcPr>
            <w:tcW w:w="271" w:type="dxa"/>
            <w:tcBorders>
              <w:top w:val="nil"/>
              <w:left w:val="nil"/>
              <w:bottom w:val="single" w:sz="4" w:space="0" w:color="auto"/>
              <w:right w:val="single" w:sz="4" w:space="0" w:color="auto"/>
            </w:tcBorders>
            <w:shd w:val="clear" w:color="auto" w:fill="EAF1DD" w:themeFill="accent3" w:themeFillTint="33"/>
            <w:noWrap/>
            <w:textDirection w:val="btLr"/>
            <w:vAlign w:val="center"/>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Parenteral</w:t>
            </w:r>
          </w:p>
        </w:tc>
        <w:tc>
          <w:tcPr>
            <w:tcW w:w="1260" w:type="dxa"/>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vertAlign w:val="superscript"/>
              </w:rPr>
            </w:pPr>
            <w:proofErr w:type="spellStart"/>
            <w:r w:rsidRPr="00407A6C">
              <w:rPr>
                <w:rFonts w:ascii="Calibri" w:eastAsia="Times New Roman" w:hAnsi="Calibri" w:cs="Calibri"/>
                <w:color w:val="000000"/>
                <w:sz w:val="17"/>
                <w:szCs w:val="17"/>
              </w:rPr>
              <w:t>Fondaparinux</w:t>
            </w:r>
            <w:proofErr w:type="spellEnd"/>
            <w:r w:rsidRPr="00407A6C">
              <w:rPr>
                <w:rFonts w:ascii="Calibri" w:eastAsia="Times New Roman" w:hAnsi="Calibri" w:cs="Calibri"/>
                <w:color w:val="000000"/>
                <w:sz w:val="17"/>
                <w:szCs w:val="17"/>
              </w:rPr>
              <w:t xml:space="preserve"> (Arixtra) </w:t>
            </w:r>
            <w:r w:rsidRPr="00407A6C">
              <w:rPr>
                <w:rFonts w:ascii="Calibri" w:eastAsia="Times New Roman" w:hAnsi="Calibri" w:cs="Calibri"/>
                <w:color w:val="000000"/>
                <w:sz w:val="17"/>
                <w:szCs w:val="17"/>
                <w:vertAlign w:val="superscript"/>
              </w:rPr>
              <w:t>5, 13</w:t>
            </w: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014681">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Selective, indirect inhibitor of the binding of factor Xa to antithrombin III</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17 to 21 hours with normal renal function</w:t>
            </w:r>
          </w:p>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not well defined</w:t>
            </w: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Prophylaxis of DVTs in patients undergoing selected surgical procedures</w:t>
            </w:r>
          </w:p>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Treatment of DVT or acute PE when given in conjunction with warfarin</w:t>
            </w: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Usually not required</w:t>
            </w:r>
          </w:p>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When needed, use anti-factor Xa (requires a different assay than used for heparin or LMWHs)</w:t>
            </w:r>
          </w:p>
          <w:p w:rsidR="002D7445" w:rsidRPr="00407A6C" w:rsidRDefault="002D7445" w:rsidP="00652912">
            <w:pPr>
              <w:spacing w:after="0" w:line="240" w:lineRule="auto"/>
              <w:rPr>
                <w:rFonts w:ascii="Calibri" w:eastAsia="Times New Roman" w:hAnsi="Calibri" w:cs="Calibri"/>
                <w:color w:val="000000"/>
                <w:sz w:val="17"/>
                <w:szCs w:val="17"/>
              </w:rPr>
            </w:pPr>
          </w:p>
          <w:p w:rsidR="002D7445" w:rsidRPr="00407A6C" w:rsidRDefault="002D7445" w:rsidP="00652912">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p>
          <w:p w:rsidR="002D7445" w:rsidRPr="00407A6C" w:rsidRDefault="002D7445" w:rsidP="00652912">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defined</w:t>
            </w:r>
          </w:p>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Neither protamine sulfate nor plasma have proved useful</w:t>
            </w:r>
          </w:p>
          <w:p w:rsidR="002D7445" w:rsidRPr="00407A6C" w:rsidRDefault="002D7445" w:rsidP="0070721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Differing experts have postulated roles for:</w:t>
            </w:r>
          </w:p>
          <w:p w:rsidR="002D7445" w:rsidRPr="00407A6C" w:rsidRDefault="002D7445" w:rsidP="00707210">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Recombinant factor </w:t>
            </w:r>
            <w:proofErr w:type="spellStart"/>
            <w:r w:rsidRPr="00407A6C">
              <w:rPr>
                <w:rFonts w:ascii="Calibri" w:eastAsia="Times New Roman" w:hAnsi="Calibri" w:cs="Calibri"/>
                <w:color w:val="000000"/>
                <w:sz w:val="17"/>
                <w:szCs w:val="17"/>
              </w:rPr>
              <w:t>VIIa</w:t>
            </w:r>
            <w:proofErr w:type="spellEnd"/>
          </w:p>
          <w:p w:rsidR="002D7445" w:rsidRPr="00407A6C" w:rsidRDefault="002D7445" w:rsidP="00707210">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Antifibrinolytic agents</w:t>
            </w:r>
          </w:p>
          <w:p w:rsidR="002D7445" w:rsidRDefault="002D7445" w:rsidP="00707210">
            <w:pPr>
              <w:spacing w:after="0" w:line="240" w:lineRule="auto"/>
              <w:rPr>
                <w:rFonts w:ascii="Calibri" w:eastAsia="Times New Roman" w:hAnsi="Calibri" w:cs="Calibri"/>
                <w:color w:val="000000"/>
                <w:sz w:val="17"/>
                <w:szCs w:val="17"/>
              </w:rPr>
            </w:pPr>
          </w:p>
          <w:p w:rsidR="002D7445"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p w:rsidR="002D7445" w:rsidRPr="00407A6C" w:rsidRDefault="002D7445" w:rsidP="00707210">
            <w:pPr>
              <w:spacing w:after="0" w:line="240" w:lineRule="auto"/>
              <w:rPr>
                <w:rFonts w:ascii="Calibri" w:eastAsia="Times New Roman" w:hAnsi="Calibri" w:cs="Calibri"/>
                <w:color w:val="000000"/>
                <w:sz w:val="17"/>
                <w:szCs w:val="17"/>
              </w:rPr>
            </w:pPr>
          </w:p>
        </w:tc>
      </w:tr>
      <w:tr w:rsidR="002D7445" w:rsidRPr="00C75FF4" w:rsidTr="00B74398">
        <w:trPr>
          <w:trHeight w:val="864"/>
        </w:trPr>
        <w:tc>
          <w:tcPr>
            <w:tcW w:w="64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2D7445" w:rsidRPr="00C75FF4" w:rsidRDefault="002D7445" w:rsidP="00C75FF4">
            <w:pPr>
              <w:spacing w:after="0" w:line="240" w:lineRule="auto"/>
              <w:rPr>
                <w:rFonts w:ascii="Calibri" w:eastAsia="Times New Roman" w:hAnsi="Calibri" w:cs="Calibri"/>
                <w:color w:val="000000"/>
                <w:sz w:val="20"/>
                <w:szCs w:val="20"/>
              </w:rPr>
            </w:pPr>
          </w:p>
        </w:tc>
        <w:tc>
          <w:tcPr>
            <w:tcW w:w="271"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btLr"/>
            <w:vAlign w:val="center"/>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Oral</w:t>
            </w:r>
          </w:p>
        </w:tc>
        <w:tc>
          <w:tcPr>
            <w:tcW w:w="1260" w:type="dxa"/>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vertAlign w:val="superscript"/>
              </w:rPr>
            </w:pPr>
            <w:r w:rsidRPr="00407A6C">
              <w:rPr>
                <w:rFonts w:ascii="Calibri" w:eastAsia="Times New Roman" w:hAnsi="Calibri" w:cs="Calibri"/>
                <w:color w:val="000000"/>
                <w:sz w:val="17"/>
                <w:szCs w:val="17"/>
              </w:rPr>
              <w:t xml:space="preserve">Apixaban (not yet FDA approved) </w:t>
            </w:r>
            <w:r w:rsidRPr="00407A6C">
              <w:rPr>
                <w:rFonts w:ascii="Calibri" w:eastAsia="Times New Roman" w:hAnsi="Calibri" w:cs="Calibri"/>
                <w:color w:val="000000"/>
                <w:sz w:val="17"/>
                <w:szCs w:val="17"/>
                <w:vertAlign w:val="superscript"/>
              </w:rPr>
              <w:t>14</w:t>
            </w:r>
          </w:p>
          <w:p w:rsidR="002D7445" w:rsidRDefault="002D7445" w:rsidP="00C75FF4">
            <w:pPr>
              <w:spacing w:after="0" w:line="240" w:lineRule="auto"/>
              <w:rPr>
                <w:rFonts w:ascii="Calibri" w:eastAsia="Times New Roman" w:hAnsi="Calibri" w:cs="Calibri"/>
                <w:color w:val="000000"/>
                <w:sz w:val="17"/>
                <w:szCs w:val="17"/>
                <w:vertAlign w:val="superscript"/>
              </w:rPr>
            </w:pPr>
          </w:p>
          <w:p w:rsidR="002D7445" w:rsidRPr="00407A6C" w:rsidRDefault="002D7445" w:rsidP="00C75FF4">
            <w:pPr>
              <w:spacing w:after="0" w:line="240" w:lineRule="auto"/>
              <w:rPr>
                <w:rFonts w:ascii="Calibri" w:eastAsia="Times New Roman" w:hAnsi="Calibri" w:cs="Calibri"/>
                <w:color w:val="000000"/>
                <w:sz w:val="17"/>
                <w:szCs w:val="17"/>
                <w:vertAlign w:val="superscript"/>
              </w:rPr>
            </w:pPr>
          </w:p>
          <w:p w:rsidR="002D7445" w:rsidRPr="00407A6C" w:rsidRDefault="002D7445" w:rsidP="00C75FF4">
            <w:pPr>
              <w:spacing w:after="0" w:line="240" w:lineRule="auto"/>
              <w:rPr>
                <w:rFonts w:ascii="Calibri" w:eastAsia="Times New Roman" w:hAnsi="Calibri" w:cs="Calibri"/>
                <w:color w:val="000000"/>
                <w:sz w:val="17"/>
                <w:szCs w:val="17"/>
                <w:vertAlign w:val="superscript"/>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Direct inhibitor of factor Xa</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2D7445"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Multiple routes; 56% unchanged in feces, 25% renal</w:t>
            </w: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8 to 15 hours</w:t>
            </w:r>
          </w:p>
          <w:p w:rsidR="002D7445" w:rsidRPr="00407A6C" w:rsidRDefault="002D7445" w:rsidP="002D459B">
            <w:pPr>
              <w:spacing w:after="0" w:line="240" w:lineRule="auto"/>
              <w:rPr>
                <w:rFonts w:ascii="Calibri" w:eastAsia="Times New Roman" w:hAnsi="Calibri" w:cs="Calibri"/>
                <w:color w:val="000000"/>
                <w:sz w:val="17"/>
                <w:szCs w:val="17"/>
              </w:rPr>
            </w:pPr>
          </w:p>
          <w:p w:rsidR="002D7445" w:rsidRDefault="002D7445" w:rsidP="002D459B">
            <w:pPr>
              <w:spacing w:after="0" w:line="240" w:lineRule="auto"/>
              <w:rPr>
                <w:rFonts w:ascii="Calibri" w:eastAsia="Times New Roman" w:hAnsi="Calibri" w:cs="Calibri"/>
                <w:color w:val="000000"/>
                <w:sz w:val="17"/>
                <w:szCs w:val="17"/>
              </w:rPr>
            </w:pPr>
          </w:p>
          <w:p w:rsidR="002D7445" w:rsidRDefault="002D7445" w:rsidP="002D459B">
            <w:pPr>
              <w:spacing w:after="0" w:line="240" w:lineRule="auto"/>
              <w:rPr>
                <w:rFonts w:ascii="Calibri" w:eastAsia="Times New Roman" w:hAnsi="Calibri" w:cs="Calibri"/>
                <w:color w:val="000000"/>
                <w:sz w:val="17"/>
                <w:szCs w:val="17"/>
              </w:rPr>
            </w:pPr>
          </w:p>
          <w:p w:rsidR="002D7445" w:rsidRDefault="002D7445" w:rsidP="002D459B">
            <w:pPr>
              <w:spacing w:after="0" w:line="240" w:lineRule="auto"/>
              <w:rPr>
                <w:rFonts w:ascii="Calibri" w:eastAsia="Times New Roman" w:hAnsi="Calibri" w:cs="Calibri"/>
                <w:color w:val="000000"/>
                <w:sz w:val="17"/>
                <w:szCs w:val="17"/>
              </w:rPr>
            </w:pPr>
          </w:p>
          <w:p w:rsidR="002D7445" w:rsidRPr="00407A6C" w:rsidRDefault="002D7445" w:rsidP="002D459B">
            <w:pPr>
              <w:spacing w:after="0" w:line="240" w:lineRule="auto"/>
              <w:rPr>
                <w:rFonts w:ascii="Calibri" w:eastAsia="Times New Roman" w:hAnsi="Calibri" w:cs="Calibri"/>
                <w:color w:val="000000"/>
                <w:sz w:val="17"/>
                <w:szCs w:val="17"/>
              </w:rPr>
            </w:pPr>
          </w:p>
          <w:p w:rsidR="002D7445" w:rsidRPr="00407A6C" w:rsidRDefault="002D7445" w:rsidP="002D459B">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Prevention of VTE in patients who have undergone elective total hip or total knee replacement</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Anti-Xa activity (requires a different assay than used for heparin or LMWHs)</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Increase R</w:t>
            </w:r>
          </w:p>
          <w:p w:rsidR="002D7445" w:rsidRPr="00407A6C" w:rsidRDefault="002D7445" w:rsidP="00C75FF4">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defined (further studies pending)</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r>
      <w:tr w:rsidR="002D7445" w:rsidRPr="00C75FF4" w:rsidTr="00B74398">
        <w:trPr>
          <w:trHeight w:val="576"/>
        </w:trPr>
        <w:tc>
          <w:tcPr>
            <w:tcW w:w="64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2D7445" w:rsidRPr="00C75FF4" w:rsidRDefault="002D7445" w:rsidP="00C75FF4">
            <w:pPr>
              <w:spacing w:after="0" w:line="240" w:lineRule="auto"/>
              <w:rPr>
                <w:rFonts w:ascii="Calibri" w:eastAsia="Times New Roman" w:hAnsi="Calibri" w:cs="Calibri"/>
                <w:color w:val="000000"/>
                <w:sz w:val="20"/>
                <w:szCs w:val="20"/>
              </w:rPr>
            </w:pPr>
          </w:p>
        </w:tc>
        <w:tc>
          <w:tcPr>
            <w:tcW w:w="27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2D7445" w:rsidRPr="00C75FF4" w:rsidRDefault="002D7445" w:rsidP="00C75FF4">
            <w:pPr>
              <w:spacing w:after="0" w:line="240" w:lineRule="auto"/>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vertAlign w:val="superscript"/>
              </w:rPr>
            </w:pPr>
            <w:proofErr w:type="spellStart"/>
            <w:r w:rsidRPr="00407A6C">
              <w:rPr>
                <w:rFonts w:ascii="Calibri" w:eastAsia="Times New Roman" w:hAnsi="Calibri" w:cs="Calibri"/>
                <w:color w:val="000000"/>
                <w:sz w:val="17"/>
                <w:szCs w:val="17"/>
              </w:rPr>
              <w:t>Rivaroxaban</w:t>
            </w:r>
            <w:proofErr w:type="spellEnd"/>
            <w:r w:rsidRPr="00407A6C">
              <w:rPr>
                <w:rFonts w:ascii="Calibri" w:eastAsia="Times New Roman" w:hAnsi="Calibri" w:cs="Calibri"/>
                <w:color w:val="000000"/>
                <w:sz w:val="17"/>
                <w:szCs w:val="17"/>
              </w:rPr>
              <w:t xml:space="preserve"> (Xarelto) </w:t>
            </w:r>
            <w:r w:rsidRPr="00407A6C">
              <w:rPr>
                <w:rFonts w:ascii="Calibri" w:eastAsia="Times New Roman" w:hAnsi="Calibri" w:cs="Calibri"/>
                <w:color w:val="000000"/>
                <w:sz w:val="17"/>
                <w:szCs w:val="17"/>
                <w:vertAlign w:val="superscript"/>
              </w:rPr>
              <w:t>10,15</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Direct</w:t>
            </w:r>
            <w:r w:rsidRPr="00407A6C">
              <w:rPr>
                <w:rFonts w:ascii="Calibri" w:eastAsia="Times New Roman" w:hAnsi="Calibri" w:cs="Calibri"/>
                <w:color w:val="000000"/>
                <w:sz w:val="17"/>
                <w:szCs w:val="17"/>
              </w:rPr>
              <w:t xml:space="preserve"> inhibitor of factor Xa</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 and hepatic</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5 to 9 hours</w:t>
            </w:r>
          </w:p>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at least 12 hours</w:t>
            </w:r>
          </w:p>
          <w:p w:rsidR="002D7445" w:rsidRPr="00407A6C" w:rsidRDefault="002D7445" w:rsidP="006824BE">
            <w:pPr>
              <w:spacing w:after="0" w:line="240" w:lineRule="auto"/>
              <w:rPr>
                <w:rFonts w:ascii="Calibri" w:eastAsia="Times New Roman" w:hAnsi="Calibri" w:cs="Calibri"/>
                <w:color w:val="000000"/>
                <w:sz w:val="17"/>
                <w:szCs w:val="17"/>
              </w:rPr>
            </w:pPr>
          </w:p>
          <w:p w:rsidR="002D7445" w:rsidRDefault="002D7445" w:rsidP="006824BE">
            <w:pPr>
              <w:spacing w:after="0" w:line="240" w:lineRule="auto"/>
              <w:rPr>
                <w:rFonts w:ascii="Calibri" w:eastAsia="Times New Roman" w:hAnsi="Calibri" w:cs="Calibri"/>
                <w:color w:val="000000"/>
                <w:sz w:val="17"/>
                <w:szCs w:val="17"/>
              </w:rPr>
            </w:pPr>
          </w:p>
          <w:p w:rsidR="002D7445" w:rsidRDefault="002D7445" w:rsidP="006824BE">
            <w:pPr>
              <w:spacing w:after="0" w:line="240" w:lineRule="auto"/>
              <w:rPr>
                <w:rFonts w:ascii="Calibri" w:eastAsia="Times New Roman" w:hAnsi="Calibri" w:cs="Calibri"/>
                <w:color w:val="000000"/>
                <w:sz w:val="17"/>
                <w:szCs w:val="17"/>
              </w:rPr>
            </w:pPr>
          </w:p>
          <w:p w:rsidR="002D7445" w:rsidRDefault="002D7445" w:rsidP="006824BE">
            <w:pPr>
              <w:spacing w:after="0" w:line="240" w:lineRule="auto"/>
              <w:rPr>
                <w:rFonts w:ascii="Calibri" w:eastAsia="Times New Roman" w:hAnsi="Calibri" w:cs="Calibri"/>
                <w:color w:val="000000"/>
                <w:sz w:val="17"/>
                <w:szCs w:val="17"/>
              </w:rPr>
            </w:pPr>
          </w:p>
          <w:p w:rsidR="002D7445"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2D7445" w:rsidRPr="00407A6C" w:rsidRDefault="002D7445" w:rsidP="0021573F">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To reduce risk of stroke and systemic embolism in patients with non-</w:t>
            </w:r>
            <w:proofErr w:type="spellStart"/>
            <w:r w:rsidRPr="00407A6C">
              <w:rPr>
                <w:rFonts w:ascii="Calibri" w:eastAsia="Times New Roman" w:hAnsi="Calibri" w:cs="Calibri"/>
                <w:color w:val="000000"/>
                <w:sz w:val="17"/>
                <w:szCs w:val="17"/>
              </w:rPr>
              <w:t>valvular</w:t>
            </w:r>
            <w:proofErr w:type="spellEnd"/>
            <w:r w:rsidRPr="00407A6C">
              <w:rPr>
                <w:rFonts w:ascii="Calibri" w:eastAsia="Times New Roman" w:hAnsi="Calibri" w:cs="Calibri"/>
                <w:color w:val="000000"/>
                <w:sz w:val="17"/>
                <w:szCs w:val="17"/>
              </w:rPr>
              <w:t xml:space="preserve"> AF</w:t>
            </w:r>
          </w:p>
          <w:p w:rsidR="002D7445" w:rsidRPr="00407A6C" w:rsidRDefault="002D7445" w:rsidP="0021573F">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Proph</w:t>
            </w:r>
            <w:r>
              <w:rPr>
                <w:rFonts w:ascii="Calibri" w:eastAsia="Times New Roman" w:hAnsi="Calibri" w:cs="Calibri"/>
                <w:color w:val="000000"/>
                <w:sz w:val="17"/>
                <w:szCs w:val="17"/>
              </w:rPr>
              <w:t>y</w:t>
            </w:r>
            <w:r w:rsidRPr="00407A6C">
              <w:rPr>
                <w:rFonts w:ascii="Calibri" w:eastAsia="Times New Roman" w:hAnsi="Calibri" w:cs="Calibri"/>
                <w:color w:val="000000"/>
                <w:sz w:val="17"/>
                <w:szCs w:val="17"/>
              </w:rPr>
              <w:t>laxis of DVT (and PE) in patients undergoing knee or hip replacement</w:t>
            </w:r>
          </w:p>
          <w:p w:rsidR="002D7445" w:rsidRDefault="002D7445" w:rsidP="006824BE">
            <w:pPr>
              <w:spacing w:after="0" w:line="240" w:lineRule="auto"/>
              <w:rPr>
                <w:rFonts w:ascii="Calibri" w:eastAsia="Times New Roman" w:hAnsi="Calibri" w:cs="Calibri"/>
                <w:color w:val="000000"/>
                <w:sz w:val="17"/>
                <w:szCs w:val="17"/>
              </w:rPr>
            </w:pPr>
          </w:p>
          <w:p w:rsidR="002D7445"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21573F">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PT better than INR</w:t>
            </w:r>
          </w:p>
          <w:p w:rsidR="002D7445" w:rsidRPr="00407A6C" w:rsidRDefault="002D7445" w:rsidP="00B70306">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Note: INR results do not mean the same as when INR is used for warfarin</w:t>
            </w:r>
          </w:p>
          <w:p w:rsidR="002D7445" w:rsidRPr="00407A6C" w:rsidRDefault="002D7445" w:rsidP="00652912">
            <w:pPr>
              <w:spacing w:after="0" w:line="240" w:lineRule="auto"/>
              <w:rPr>
                <w:rFonts w:ascii="Calibri" w:eastAsia="Times New Roman" w:hAnsi="Calibri" w:cs="Calibri"/>
                <w:color w:val="000000"/>
                <w:sz w:val="17"/>
                <w:szCs w:val="17"/>
              </w:rPr>
            </w:pPr>
          </w:p>
          <w:p w:rsidR="002D7445" w:rsidRPr="00407A6C" w:rsidRDefault="002D7445" w:rsidP="00652912">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p>
          <w:p w:rsidR="002D7445" w:rsidRPr="00407A6C" w:rsidRDefault="002D7445" w:rsidP="00C82D74">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2D7445" w:rsidRPr="00407A6C" w:rsidRDefault="002D7445" w:rsidP="0021573F">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Not well defined</w:t>
            </w:r>
          </w:p>
          <w:p w:rsidR="002D7445" w:rsidRPr="00407A6C" w:rsidRDefault="002D7445" w:rsidP="0021573F">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Different experts have postulated roles for:</w:t>
            </w:r>
          </w:p>
          <w:p w:rsidR="002D7445" w:rsidRPr="00407A6C" w:rsidRDefault="002D7445" w:rsidP="0021573F">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Recombinant factor </w:t>
            </w:r>
            <w:proofErr w:type="spellStart"/>
            <w:r w:rsidRPr="00407A6C">
              <w:rPr>
                <w:rFonts w:ascii="Calibri" w:eastAsia="Times New Roman" w:hAnsi="Calibri" w:cs="Calibri"/>
                <w:color w:val="000000"/>
                <w:sz w:val="17"/>
                <w:szCs w:val="17"/>
              </w:rPr>
              <w:t>VIIa</w:t>
            </w:r>
            <w:proofErr w:type="spellEnd"/>
          </w:p>
          <w:p w:rsidR="002D7445" w:rsidRPr="00407A6C" w:rsidRDefault="002D7445" w:rsidP="0021573F">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PCCs</w:t>
            </w:r>
          </w:p>
          <w:p w:rsidR="002D7445" w:rsidRDefault="002D7445" w:rsidP="006824BE">
            <w:pPr>
              <w:spacing w:after="0" w:line="240" w:lineRule="auto"/>
              <w:rPr>
                <w:rFonts w:ascii="Calibri" w:eastAsia="Times New Roman" w:hAnsi="Calibri" w:cs="Calibri"/>
                <w:color w:val="000000"/>
                <w:sz w:val="17"/>
                <w:szCs w:val="17"/>
              </w:rPr>
            </w:pPr>
          </w:p>
          <w:p w:rsidR="002D7445"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p w:rsidR="002D7445" w:rsidRPr="00407A6C" w:rsidRDefault="002D7445" w:rsidP="006824BE">
            <w:pPr>
              <w:spacing w:after="0" w:line="240" w:lineRule="auto"/>
              <w:rPr>
                <w:rFonts w:ascii="Calibri" w:eastAsia="Times New Roman" w:hAnsi="Calibri" w:cs="Calibri"/>
                <w:color w:val="000000"/>
                <w:sz w:val="17"/>
                <w:szCs w:val="17"/>
              </w:rPr>
            </w:pPr>
          </w:p>
        </w:tc>
      </w:tr>
      <w:tr w:rsidR="002D7445" w:rsidRPr="00C75FF4" w:rsidTr="00B74398">
        <w:trPr>
          <w:trHeight w:val="2087"/>
        </w:trPr>
        <w:tc>
          <w:tcPr>
            <w:tcW w:w="644" w:type="dxa"/>
            <w:tcBorders>
              <w:top w:val="single" w:sz="4" w:space="0" w:color="000000"/>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2D7445" w:rsidRPr="00C75FF4" w:rsidRDefault="002D7445" w:rsidP="00C75FF4">
            <w:pPr>
              <w:spacing w:after="0" w:line="240" w:lineRule="auto"/>
              <w:jc w:val="center"/>
              <w:rPr>
                <w:rFonts w:ascii="Calibri" w:eastAsia="Times New Roman" w:hAnsi="Calibri" w:cs="Calibri"/>
                <w:color w:val="000000"/>
                <w:sz w:val="20"/>
                <w:szCs w:val="20"/>
              </w:rPr>
            </w:pPr>
            <w:proofErr w:type="spellStart"/>
            <w:r w:rsidRPr="00C75FF4">
              <w:rPr>
                <w:rFonts w:ascii="Calibri" w:eastAsia="Times New Roman" w:hAnsi="Calibri" w:cs="Calibri"/>
                <w:color w:val="000000"/>
                <w:sz w:val="20"/>
                <w:szCs w:val="20"/>
              </w:rPr>
              <w:t>Coumarin</w:t>
            </w:r>
            <w:proofErr w:type="spellEnd"/>
          </w:p>
        </w:tc>
        <w:tc>
          <w:tcPr>
            <w:tcW w:w="271" w:type="dxa"/>
            <w:tcBorders>
              <w:top w:val="single" w:sz="4" w:space="0" w:color="000000"/>
              <w:left w:val="nil"/>
              <w:bottom w:val="single" w:sz="4" w:space="0" w:color="auto"/>
              <w:right w:val="single" w:sz="4" w:space="0" w:color="auto"/>
            </w:tcBorders>
            <w:shd w:val="clear" w:color="auto" w:fill="EAF1DD" w:themeFill="accent3" w:themeFillTint="33"/>
            <w:noWrap/>
            <w:textDirection w:val="btLr"/>
            <w:vAlign w:val="center"/>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IV and PO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vertAlign w:val="superscript"/>
              </w:rPr>
            </w:pPr>
            <w:r w:rsidRPr="00407A6C">
              <w:rPr>
                <w:rFonts w:ascii="Calibri" w:eastAsia="Times New Roman" w:hAnsi="Calibri" w:cs="Calibri"/>
                <w:color w:val="000000"/>
                <w:sz w:val="17"/>
                <w:szCs w:val="17"/>
              </w:rPr>
              <w:t xml:space="preserve">Warfarin (Coumadin) </w:t>
            </w:r>
            <w:r>
              <w:rPr>
                <w:rFonts w:ascii="Calibri" w:eastAsia="Times New Roman" w:hAnsi="Calibri" w:cs="Calibri"/>
                <w:color w:val="000000"/>
                <w:sz w:val="17"/>
                <w:szCs w:val="17"/>
              </w:rPr>
              <w:t xml:space="preserve">   </w:t>
            </w:r>
            <w:r w:rsidRPr="00407A6C">
              <w:rPr>
                <w:rFonts w:ascii="Calibri" w:eastAsia="Times New Roman" w:hAnsi="Calibri" w:cs="Calibri"/>
                <w:color w:val="000000"/>
                <w:sz w:val="17"/>
                <w:szCs w:val="17"/>
                <w:vertAlign w:val="superscript"/>
              </w:rPr>
              <w:t>1, 16, 17</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vertAlign w:val="superscript"/>
              </w:rPr>
            </w:pPr>
          </w:p>
        </w:tc>
        <w:tc>
          <w:tcPr>
            <w:tcW w:w="1980" w:type="dxa"/>
            <w:gridSpan w:val="3"/>
            <w:tcBorders>
              <w:top w:val="single" w:sz="4" w:space="0" w:color="auto"/>
              <w:left w:val="nil"/>
              <w:bottom w:val="single" w:sz="4" w:space="0" w:color="auto"/>
              <w:right w:val="single" w:sz="4" w:space="0" w:color="auto"/>
            </w:tcBorders>
            <w:shd w:val="clear" w:color="auto" w:fill="auto"/>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Blocks the synthesis of vitamin K dependent coagulations factors (</w:t>
            </w:r>
            <w:proofErr w:type="spellStart"/>
            <w:r w:rsidRPr="00407A6C">
              <w:rPr>
                <w:rFonts w:ascii="Calibri" w:eastAsia="Times New Roman" w:hAnsi="Calibri" w:cs="Calibri"/>
                <w:color w:val="000000"/>
                <w:sz w:val="17"/>
                <w:szCs w:val="17"/>
              </w:rPr>
              <w:t>ie</w:t>
            </w:r>
            <w:proofErr w:type="spellEnd"/>
            <w:r w:rsidRPr="00407A6C">
              <w:rPr>
                <w:rFonts w:ascii="Calibri" w:eastAsia="Times New Roman" w:hAnsi="Calibri" w:cs="Calibri"/>
                <w:color w:val="000000"/>
                <w:sz w:val="17"/>
                <w:szCs w:val="17"/>
              </w:rPr>
              <w:t xml:space="preserve"> factors II, VII, IX &amp; X) and anticoagulant factors (</w:t>
            </w:r>
            <w:proofErr w:type="spellStart"/>
            <w:r w:rsidRPr="00407A6C">
              <w:rPr>
                <w:rFonts w:ascii="Calibri" w:eastAsia="Times New Roman" w:hAnsi="Calibri" w:cs="Calibri"/>
                <w:color w:val="000000"/>
                <w:sz w:val="17"/>
                <w:szCs w:val="17"/>
              </w:rPr>
              <w:t>eg</w:t>
            </w:r>
            <w:proofErr w:type="spellEnd"/>
            <w:r w:rsidRPr="00407A6C">
              <w:rPr>
                <w:rFonts w:ascii="Calibri" w:eastAsia="Times New Roman" w:hAnsi="Calibri" w:cs="Calibri"/>
                <w:color w:val="000000"/>
                <w:sz w:val="17"/>
                <w:szCs w:val="17"/>
              </w:rPr>
              <w:t xml:space="preserve"> proteins C &amp; S)</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Hepatic</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Effective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xml:space="preserve"> for R- and S- enantiomer s: 20 to 40 hours</w:t>
            </w:r>
          </w:p>
          <w:p w:rsidR="002D7445" w:rsidRPr="00407A6C" w:rsidRDefault="002D7445" w:rsidP="00F715F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Usually 2 to 5 days</w:t>
            </w:r>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A623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Prophylaxis and treatment of:</w:t>
            </w:r>
          </w:p>
          <w:p w:rsidR="002D7445" w:rsidRPr="00407A6C" w:rsidRDefault="002D7445" w:rsidP="00A62384">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Venous thrombosis &amp; PE</w:t>
            </w:r>
          </w:p>
          <w:p w:rsidR="002D7445" w:rsidRPr="00407A6C" w:rsidRDefault="002D7445" w:rsidP="00A62384">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Thromboembolic complications associated with AF and/or cardiac valve replacement</w:t>
            </w:r>
          </w:p>
          <w:p w:rsidR="002D7445" w:rsidRPr="00407A6C" w:rsidRDefault="002D7445" w:rsidP="00A623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Reduction in risk of death, recurrent MI and thromboembolic events (</w:t>
            </w:r>
            <w:proofErr w:type="spellStart"/>
            <w:r w:rsidRPr="00407A6C">
              <w:rPr>
                <w:rFonts w:ascii="Calibri" w:eastAsia="Times New Roman" w:hAnsi="Calibri" w:cs="Calibri"/>
                <w:color w:val="000000"/>
                <w:sz w:val="17"/>
                <w:szCs w:val="17"/>
              </w:rPr>
              <w:t>eg</w:t>
            </w:r>
            <w:proofErr w:type="spellEnd"/>
            <w:r w:rsidRPr="00407A6C">
              <w:rPr>
                <w:rFonts w:ascii="Calibri" w:eastAsia="Times New Roman" w:hAnsi="Calibri" w:cs="Calibri"/>
                <w:color w:val="000000"/>
                <w:sz w:val="17"/>
                <w:szCs w:val="17"/>
              </w:rPr>
              <w:t xml:space="preserve"> st</w:t>
            </w:r>
            <w:r>
              <w:rPr>
                <w:rFonts w:ascii="Calibri" w:eastAsia="Times New Roman" w:hAnsi="Calibri" w:cs="Calibri"/>
                <w:color w:val="000000"/>
                <w:sz w:val="17"/>
                <w:szCs w:val="17"/>
              </w:rPr>
              <w:t>r</w:t>
            </w:r>
            <w:r w:rsidRPr="00407A6C">
              <w:rPr>
                <w:rFonts w:ascii="Calibri" w:eastAsia="Times New Roman" w:hAnsi="Calibri" w:cs="Calibri"/>
                <w:color w:val="000000"/>
                <w:sz w:val="17"/>
                <w:szCs w:val="17"/>
              </w:rPr>
              <w:t>oke or systemic embolization) after MI</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INR</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Increase R</w:t>
            </w: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p w:rsidR="002D7445" w:rsidRPr="00407A6C" w:rsidRDefault="002D7445" w:rsidP="00C75FF4">
            <w:pPr>
              <w:spacing w:after="0" w:line="240" w:lineRule="auto"/>
              <w:rPr>
                <w:rFonts w:ascii="Calibri" w:eastAsia="Times New Roman" w:hAnsi="Calibri" w:cs="Calibri"/>
                <w:color w:val="000000"/>
                <w:sz w:val="17"/>
                <w:szCs w:val="17"/>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445" w:rsidRPr="00407A6C" w:rsidRDefault="002D7445" w:rsidP="00A623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Vitamin K</w:t>
            </w:r>
          </w:p>
          <w:p w:rsidR="002D7445" w:rsidRPr="00407A6C" w:rsidRDefault="002D7445" w:rsidP="00A623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FFP (some experts recommend combining with PCCs)</w:t>
            </w:r>
          </w:p>
          <w:p w:rsidR="002D7445" w:rsidRPr="00407A6C" w:rsidRDefault="002D7445" w:rsidP="00A623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PCCs (see immediately above)</w:t>
            </w:r>
          </w:p>
          <w:p w:rsidR="002D7445" w:rsidRPr="00407A6C" w:rsidRDefault="002D7445" w:rsidP="00A6238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Rarely, recombinant factor </w:t>
            </w:r>
            <w:proofErr w:type="spellStart"/>
            <w:r w:rsidRPr="00407A6C">
              <w:rPr>
                <w:rFonts w:ascii="Calibri" w:eastAsia="Times New Roman" w:hAnsi="Calibri" w:cs="Calibri"/>
                <w:color w:val="000000"/>
                <w:sz w:val="17"/>
                <w:szCs w:val="17"/>
              </w:rPr>
              <w:t>VIIa</w:t>
            </w:r>
            <w:proofErr w:type="spellEnd"/>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p w:rsidR="002D7445" w:rsidRPr="00407A6C" w:rsidRDefault="002D7445" w:rsidP="00A62384">
            <w:pPr>
              <w:spacing w:after="0" w:line="240" w:lineRule="auto"/>
              <w:rPr>
                <w:rFonts w:ascii="Calibri" w:eastAsia="Times New Roman" w:hAnsi="Calibri" w:cs="Calibri"/>
                <w:color w:val="000000"/>
                <w:sz w:val="17"/>
                <w:szCs w:val="17"/>
              </w:rPr>
            </w:pPr>
          </w:p>
        </w:tc>
      </w:tr>
      <w:tr w:rsidR="002D7445" w:rsidRPr="00BB0999" w:rsidTr="00B74398">
        <w:trPr>
          <w:trHeight w:val="1115"/>
        </w:trPr>
        <w:tc>
          <w:tcPr>
            <w:tcW w:w="644" w:type="dxa"/>
            <w:tcBorders>
              <w:top w:val="single" w:sz="4" w:space="0" w:color="auto"/>
              <w:left w:val="single" w:sz="4" w:space="0" w:color="auto"/>
              <w:bottom w:val="single" w:sz="4" w:space="0" w:color="auto"/>
            </w:tcBorders>
            <w:shd w:val="clear" w:color="auto" w:fill="EAF1DD" w:themeFill="accent3" w:themeFillTint="33"/>
            <w:noWrap/>
            <w:textDirection w:val="btLr"/>
            <w:vAlign w:val="center"/>
          </w:tcPr>
          <w:p w:rsidR="002D7445" w:rsidRPr="00BB0999" w:rsidRDefault="002D7445" w:rsidP="00C75FF4">
            <w:pPr>
              <w:spacing w:after="0" w:line="240" w:lineRule="auto"/>
              <w:jc w:val="center"/>
              <w:rPr>
                <w:rFonts w:ascii="Calibri" w:eastAsia="Times New Roman" w:hAnsi="Calibri" w:cs="Calibri"/>
                <w:color w:val="000000"/>
                <w:sz w:val="17"/>
                <w:szCs w:val="17"/>
              </w:rPr>
            </w:pPr>
          </w:p>
        </w:tc>
        <w:tc>
          <w:tcPr>
            <w:tcW w:w="271" w:type="dxa"/>
            <w:tcBorders>
              <w:top w:val="single" w:sz="4" w:space="0" w:color="auto"/>
              <w:bottom w:val="single" w:sz="4" w:space="0" w:color="auto"/>
            </w:tcBorders>
            <w:shd w:val="clear" w:color="auto" w:fill="EAF1DD" w:themeFill="accent3" w:themeFillTint="33"/>
            <w:noWrap/>
            <w:textDirection w:val="btLr"/>
            <w:vAlign w:val="center"/>
          </w:tcPr>
          <w:p w:rsidR="002D7445" w:rsidRPr="00BB0999" w:rsidRDefault="002D7445" w:rsidP="00C75FF4">
            <w:pPr>
              <w:spacing w:after="0" w:line="240" w:lineRule="auto"/>
              <w:jc w:val="center"/>
              <w:rPr>
                <w:rFonts w:ascii="Calibri" w:eastAsia="Times New Roman" w:hAnsi="Calibri" w:cs="Calibri"/>
                <w:color w:val="000000"/>
                <w:sz w:val="17"/>
                <w:szCs w:val="17"/>
              </w:rPr>
            </w:pPr>
          </w:p>
        </w:tc>
        <w:tc>
          <w:tcPr>
            <w:tcW w:w="1260" w:type="dxa"/>
            <w:tcBorders>
              <w:top w:val="single" w:sz="4" w:space="0" w:color="auto"/>
              <w:bottom w:val="single" w:sz="4" w:space="0" w:color="auto"/>
            </w:tcBorders>
            <w:shd w:val="clear" w:color="auto" w:fill="auto"/>
            <w:vAlign w:val="bottom"/>
          </w:tcPr>
          <w:p w:rsidR="002D7445" w:rsidRPr="00BB0999" w:rsidRDefault="002D7445" w:rsidP="00C75FF4">
            <w:pPr>
              <w:spacing w:after="0" w:line="240" w:lineRule="auto"/>
              <w:rPr>
                <w:rFonts w:ascii="Calibri" w:eastAsia="Times New Roman" w:hAnsi="Calibri" w:cs="Calibri"/>
                <w:color w:val="000000"/>
                <w:sz w:val="17"/>
                <w:szCs w:val="17"/>
              </w:rPr>
            </w:pPr>
            <w:r w:rsidRPr="00BB0999">
              <w:rPr>
                <w:rFonts w:ascii="Calibri" w:eastAsia="Times New Roman" w:hAnsi="Calibri" w:cs="Calibri"/>
                <w:color w:val="000000"/>
                <w:sz w:val="17"/>
                <w:szCs w:val="17"/>
              </w:rPr>
              <w:t>Notes:</w:t>
            </w:r>
          </w:p>
          <w:p w:rsidR="002D7445" w:rsidRPr="00BB0999" w:rsidRDefault="002D7445" w:rsidP="00C75FF4">
            <w:pPr>
              <w:spacing w:after="0" w:line="240" w:lineRule="auto"/>
              <w:rPr>
                <w:rFonts w:ascii="Calibri" w:eastAsia="Times New Roman" w:hAnsi="Calibri" w:cs="Calibri"/>
                <w:color w:val="000000"/>
                <w:sz w:val="17"/>
                <w:szCs w:val="17"/>
              </w:rPr>
            </w:pPr>
          </w:p>
          <w:p w:rsidR="002D7445" w:rsidRPr="00BB0999" w:rsidRDefault="002D7445" w:rsidP="00C75FF4">
            <w:pPr>
              <w:spacing w:after="0" w:line="240" w:lineRule="auto"/>
              <w:rPr>
                <w:rFonts w:ascii="Calibri" w:eastAsia="Times New Roman" w:hAnsi="Calibri" w:cs="Calibri"/>
                <w:color w:val="000000"/>
                <w:sz w:val="17"/>
                <w:szCs w:val="17"/>
              </w:rPr>
            </w:pPr>
          </w:p>
          <w:p w:rsidR="002D7445" w:rsidRPr="00BB0999" w:rsidRDefault="002D7445" w:rsidP="00C75FF4">
            <w:pPr>
              <w:spacing w:after="0" w:line="240" w:lineRule="auto"/>
              <w:rPr>
                <w:rFonts w:ascii="Calibri" w:eastAsia="Times New Roman" w:hAnsi="Calibri" w:cs="Calibri"/>
                <w:color w:val="000000"/>
                <w:sz w:val="17"/>
                <w:szCs w:val="17"/>
              </w:rPr>
            </w:pPr>
          </w:p>
          <w:p w:rsidR="002D7445" w:rsidRPr="00BB0999" w:rsidRDefault="002D7445"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bottom w:val="single" w:sz="4" w:space="0" w:color="auto"/>
            </w:tcBorders>
            <w:shd w:val="clear" w:color="auto" w:fill="auto"/>
            <w:vAlign w:val="bottom"/>
          </w:tcPr>
          <w:p w:rsidR="002D7445" w:rsidRPr="00BB0999" w:rsidRDefault="002D7445"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bottom w:val="single" w:sz="4" w:space="0" w:color="auto"/>
            </w:tcBorders>
            <w:shd w:val="clear" w:color="auto" w:fill="auto"/>
            <w:noWrap/>
            <w:vAlign w:val="bottom"/>
          </w:tcPr>
          <w:p w:rsidR="002D7445" w:rsidRPr="00BB0999" w:rsidRDefault="002D7445"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bottom w:val="single" w:sz="4" w:space="0" w:color="auto"/>
            </w:tcBorders>
            <w:shd w:val="clear" w:color="auto" w:fill="auto"/>
            <w:noWrap/>
            <w:vAlign w:val="bottom"/>
          </w:tcPr>
          <w:p w:rsidR="002D7445" w:rsidRPr="00BB0999" w:rsidRDefault="002D7445" w:rsidP="00407A6C">
            <w:pPr>
              <w:spacing w:after="0" w:line="240" w:lineRule="auto"/>
              <w:rPr>
                <w:rFonts w:ascii="Calibri" w:eastAsia="Times New Roman" w:hAnsi="Calibri" w:cs="Calibri"/>
                <w:color w:val="000000"/>
                <w:sz w:val="17"/>
                <w:szCs w:val="17"/>
              </w:rPr>
            </w:pPr>
          </w:p>
        </w:tc>
        <w:tc>
          <w:tcPr>
            <w:tcW w:w="2970" w:type="dxa"/>
            <w:gridSpan w:val="4"/>
            <w:tcBorders>
              <w:top w:val="single" w:sz="4" w:space="0" w:color="auto"/>
              <w:bottom w:val="single" w:sz="4" w:space="0" w:color="auto"/>
            </w:tcBorders>
            <w:shd w:val="clear" w:color="auto" w:fill="auto"/>
            <w:noWrap/>
            <w:vAlign w:val="bottom"/>
          </w:tcPr>
          <w:p w:rsidR="002D7445" w:rsidRPr="00BB0999" w:rsidRDefault="002D7445" w:rsidP="007D20A8">
            <w:pPr>
              <w:pStyle w:val="ListParagraph"/>
              <w:spacing w:after="0" w:line="240" w:lineRule="auto"/>
              <w:ind w:left="360"/>
              <w:rPr>
                <w:rFonts w:ascii="Calibri" w:eastAsia="Times New Roman" w:hAnsi="Calibri" w:cs="Calibri"/>
                <w:color w:val="000000"/>
                <w:sz w:val="17"/>
                <w:szCs w:val="17"/>
              </w:rPr>
            </w:pPr>
          </w:p>
        </w:tc>
        <w:tc>
          <w:tcPr>
            <w:tcW w:w="1800" w:type="dxa"/>
            <w:gridSpan w:val="2"/>
            <w:tcBorders>
              <w:top w:val="single" w:sz="4" w:space="0" w:color="auto"/>
              <w:bottom w:val="single" w:sz="4" w:space="0" w:color="auto"/>
            </w:tcBorders>
            <w:shd w:val="clear" w:color="auto" w:fill="auto"/>
            <w:noWrap/>
            <w:vAlign w:val="bottom"/>
          </w:tcPr>
          <w:p w:rsidR="002D7445" w:rsidRPr="00BB0999" w:rsidRDefault="002D7445" w:rsidP="00C75FF4">
            <w:pPr>
              <w:spacing w:after="0" w:line="240" w:lineRule="auto"/>
              <w:rPr>
                <w:rFonts w:ascii="Calibri" w:eastAsia="Times New Roman" w:hAnsi="Calibri" w:cs="Calibri"/>
                <w:color w:val="000000"/>
                <w:sz w:val="17"/>
                <w:szCs w:val="17"/>
              </w:rPr>
            </w:pPr>
          </w:p>
        </w:tc>
        <w:tc>
          <w:tcPr>
            <w:tcW w:w="2970" w:type="dxa"/>
            <w:gridSpan w:val="2"/>
            <w:tcBorders>
              <w:top w:val="single" w:sz="4" w:space="0" w:color="auto"/>
              <w:bottom w:val="single" w:sz="4" w:space="0" w:color="auto"/>
              <w:right w:val="single" w:sz="4" w:space="0" w:color="auto"/>
            </w:tcBorders>
            <w:shd w:val="clear" w:color="auto" w:fill="auto"/>
            <w:noWrap/>
            <w:vAlign w:val="bottom"/>
          </w:tcPr>
          <w:p w:rsidR="002D7445" w:rsidRPr="00BB0999" w:rsidRDefault="002D7445" w:rsidP="007D20A8">
            <w:pPr>
              <w:pStyle w:val="ListParagraph"/>
              <w:spacing w:after="0" w:line="240" w:lineRule="auto"/>
              <w:ind w:left="360"/>
              <w:rPr>
                <w:rFonts w:ascii="Calibri" w:eastAsia="Times New Roman" w:hAnsi="Calibri" w:cs="Calibri"/>
                <w:color w:val="000000"/>
                <w:sz w:val="17"/>
                <w:szCs w:val="17"/>
              </w:rPr>
            </w:pPr>
          </w:p>
        </w:tc>
      </w:tr>
      <w:tr w:rsidR="002D7445" w:rsidRPr="00C75FF4" w:rsidTr="00B74398">
        <w:trPr>
          <w:trHeight w:val="710"/>
        </w:trPr>
        <w:tc>
          <w:tcPr>
            <w:tcW w:w="644" w:type="dxa"/>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2D7445" w:rsidRPr="00C75FF4" w:rsidRDefault="002D7445" w:rsidP="00480F91">
            <w:pPr>
              <w:spacing w:after="0" w:line="240" w:lineRule="auto"/>
              <w:jc w:val="right"/>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lastRenderedPageBreak/>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Agent</w:t>
            </w:r>
          </w:p>
        </w:tc>
        <w:tc>
          <w:tcPr>
            <w:tcW w:w="198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Clearance</w:t>
            </w:r>
          </w:p>
        </w:tc>
        <w:tc>
          <w:tcPr>
            <w:tcW w:w="1800" w:type="dxa"/>
            <w:gridSpan w:val="5"/>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Usual Half Lif</w:t>
            </w:r>
            <w:r w:rsidRPr="00C75FF4">
              <w:rPr>
                <w:rFonts w:ascii="Calibri" w:eastAsia="Times New Roman" w:hAnsi="Calibri" w:cs="Calibri"/>
                <w:b/>
                <w:bCs/>
                <w:color w:val="000000"/>
                <w:sz w:val="20"/>
                <w:szCs w:val="20"/>
              </w:rPr>
              <w:t xml:space="preserve">e </w:t>
            </w:r>
            <w:r>
              <w:rPr>
                <w:rFonts w:ascii="Calibri" w:eastAsia="Times New Roman" w:hAnsi="Calibri" w:cs="Calibri"/>
                <w:b/>
                <w:bCs/>
                <w:color w:val="000000"/>
                <w:sz w:val="20"/>
                <w:szCs w:val="20"/>
              </w:rPr>
              <w:t>(t</w:t>
            </w:r>
            <w:r w:rsidRPr="00480F91">
              <w:rPr>
                <w:rFonts w:ascii="Calibri" w:eastAsia="Times New Roman" w:hAnsi="Calibri" w:cs="Calibri"/>
                <w:b/>
                <w:bCs/>
                <w:color w:val="000000"/>
                <w:sz w:val="20"/>
                <w:szCs w:val="20"/>
                <w:vertAlign w:val="subscript"/>
              </w:rPr>
              <w:t>1/2</w:t>
            </w:r>
            <w:r>
              <w:rPr>
                <w:rFonts w:ascii="Calibri" w:eastAsia="Times New Roman" w:hAnsi="Calibri" w:cs="Calibri"/>
                <w:b/>
                <w:bCs/>
                <w:color w:val="000000"/>
                <w:sz w:val="20"/>
                <w:szCs w:val="20"/>
              </w:rPr>
              <w:t xml:space="preserve">) </w:t>
            </w:r>
            <w:r w:rsidRPr="00C75FF4">
              <w:rPr>
                <w:rFonts w:ascii="Calibri" w:eastAsia="Times New Roman" w:hAnsi="Calibri" w:cs="Calibri"/>
                <w:b/>
                <w:bCs/>
                <w:color w:val="000000"/>
                <w:sz w:val="20"/>
                <w:szCs w:val="20"/>
              </w:rPr>
              <w:t>&amp; Duration of Effect</w:t>
            </w:r>
          </w:p>
        </w:tc>
        <w:tc>
          <w:tcPr>
            <w:tcW w:w="2970" w:type="dxa"/>
            <w:gridSpan w:val="4"/>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Most Common Indications</w:t>
            </w:r>
          </w:p>
        </w:tc>
        <w:tc>
          <w:tcPr>
            <w:tcW w:w="180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Monitoring Methods</w:t>
            </w:r>
          </w:p>
        </w:tc>
        <w:tc>
          <w:tcPr>
            <w:tcW w:w="297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2D7445" w:rsidRPr="00C75FF4" w:rsidRDefault="002D7445"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Strategies for Rapid Reversal and/or Hemostatic Correction</w:t>
            </w:r>
          </w:p>
        </w:tc>
      </w:tr>
      <w:tr w:rsidR="002D7445" w:rsidRPr="00C75FF4" w:rsidTr="00B74398">
        <w:trPr>
          <w:trHeight w:val="241"/>
        </w:trPr>
        <w:tc>
          <w:tcPr>
            <w:tcW w:w="15135" w:type="dxa"/>
            <w:gridSpan w:val="22"/>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bottom"/>
            <w:hideMark/>
          </w:tcPr>
          <w:p w:rsidR="002D7445" w:rsidRPr="00C75FF4" w:rsidRDefault="002D7445"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Anti-Platelet Agents</w:t>
            </w:r>
          </w:p>
        </w:tc>
      </w:tr>
      <w:tr w:rsidR="00BF3CBF" w:rsidRPr="00C75FF4" w:rsidTr="00B74398">
        <w:trPr>
          <w:trHeight w:val="936"/>
        </w:trPr>
        <w:tc>
          <w:tcPr>
            <w:tcW w:w="644" w:type="dxa"/>
            <w:tcBorders>
              <w:top w:val="nil"/>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BF3CBF" w:rsidRPr="00C75FF4" w:rsidRDefault="00BF3CBF"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Salicylate</w:t>
            </w:r>
          </w:p>
        </w:tc>
        <w:tc>
          <w:tcPr>
            <w:tcW w:w="271" w:type="dxa"/>
            <w:tcBorders>
              <w:top w:val="nil"/>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BF3CBF" w:rsidRPr="00431EE5" w:rsidRDefault="00BF3CBF"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Oral</w:t>
            </w:r>
          </w:p>
        </w:tc>
        <w:tc>
          <w:tcPr>
            <w:tcW w:w="1260" w:type="dxa"/>
            <w:tcBorders>
              <w:top w:val="nil"/>
              <w:left w:val="nil"/>
              <w:bottom w:val="single" w:sz="4" w:space="0" w:color="auto"/>
              <w:right w:val="single" w:sz="4" w:space="0" w:color="auto"/>
            </w:tcBorders>
            <w:shd w:val="clear" w:color="auto" w:fill="auto"/>
            <w:vAlign w:val="bottom"/>
            <w:hideMark/>
          </w:tcPr>
          <w:p w:rsidR="00BF3CBF" w:rsidRPr="00431EE5" w:rsidRDefault="00BF3CBF"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Aspirin</w:t>
            </w: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Irreversible inhibition of platelet cyclooxygenase, blocking the formation of thromboxane A2 from arachidonic acid and ther</w:t>
            </w:r>
            <w:r>
              <w:rPr>
                <w:rFonts w:ascii="Calibri" w:eastAsia="Times New Roman" w:hAnsi="Calibri" w:cs="Calibri"/>
                <w:color w:val="000000"/>
                <w:sz w:val="17"/>
                <w:szCs w:val="17"/>
              </w:rPr>
              <w:t>e</w:t>
            </w:r>
            <w:r w:rsidRPr="00407A6C">
              <w:rPr>
                <w:rFonts w:ascii="Calibri" w:eastAsia="Times New Roman" w:hAnsi="Calibri" w:cs="Calibri"/>
                <w:color w:val="000000"/>
                <w:sz w:val="17"/>
                <w:szCs w:val="17"/>
              </w:rPr>
              <w:t>by reducing platelet function and aggregation</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Default="00BF3CBF" w:rsidP="00C75FF4">
            <w:pPr>
              <w:spacing w:after="0" w:line="240" w:lineRule="auto"/>
              <w:rPr>
                <w:rFonts w:ascii="Calibri" w:eastAsia="Times New Roman" w:hAnsi="Calibri" w:cs="Calibri"/>
                <w:color w:val="000000"/>
                <w:sz w:val="17"/>
                <w:szCs w:val="17"/>
              </w:rPr>
            </w:pPr>
          </w:p>
          <w:p w:rsidR="00BF3CBF" w:rsidRDefault="00BF3CBF" w:rsidP="00C75FF4">
            <w:pPr>
              <w:spacing w:after="0" w:line="240" w:lineRule="auto"/>
              <w:rPr>
                <w:rFonts w:ascii="Calibri" w:eastAsia="Times New Roman" w:hAnsi="Calibri" w:cs="Calibri"/>
                <w:color w:val="000000"/>
                <w:sz w:val="17"/>
                <w:szCs w:val="17"/>
              </w:rPr>
            </w:pPr>
          </w:p>
          <w:p w:rsidR="00BF3CBF"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Hepatic and renal </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BF3CBF" w:rsidRPr="00407A6C" w:rsidRDefault="00BF3CBF" w:rsidP="001E664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5 to 9 hours</w:t>
            </w:r>
          </w:p>
          <w:p w:rsidR="00BF3CBF" w:rsidRPr="00407A6C" w:rsidRDefault="00BF3CBF" w:rsidP="00C75FF4">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until platelets replaced</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Pr>
                <w:rFonts w:ascii="Calibri" w:eastAsia="Times New Roman" w:hAnsi="Calibri" w:cs="Calibri"/>
                <w:color w:val="000000"/>
                <w:sz w:val="17"/>
                <w:szCs w:val="17"/>
              </w:rPr>
              <w:t>Reducing the risk of non-</w:t>
            </w:r>
            <w:r w:rsidRPr="00407A6C">
              <w:rPr>
                <w:rFonts w:ascii="Calibri" w:eastAsia="Times New Roman" w:hAnsi="Calibri" w:cs="Calibri"/>
                <w:color w:val="000000"/>
                <w:sz w:val="17"/>
                <w:szCs w:val="17"/>
              </w:rPr>
              <w:t>fatal MI, non-fatal stroke or vascular death among patients with established arterial disease</w:t>
            </w:r>
          </w:p>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Multiple other indicators</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Default="00BF3CBF" w:rsidP="004C3BDD">
            <w:pPr>
              <w:spacing w:after="0" w:line="240" w:lineRule="auto"/>
              <w:rPr>
                <w:rFonts w:ascii="Calibri" w:eastAsia="Times New Roman" w:hAnsi="Calibri" w:cs="Calibri"/>
                <w:color w:val="000000"/>
                <w:sz w:val="17"/>
                <w:szCs w:val="17"/>
              </w:rPr>
            </w:pPr>
          </w:p>
          <w:p w:rsidR="00BF3CBF"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clinically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Potential roles for:</w:t>
            </w:r>
          </w:p>
          <w:p w:rsidR="00BF3CBF" w:rsidRPr="00407A6C" w:rsidRDefault="00BF3CBF" w:rsidP="001A230E">
            <w:pPr>
              <w:pStyle w:val="ListParagraph"/>
              <w:numPr>
                <w:ilvl w:val="1"/>
                <w:numId w:val="7"/>
              </w:numPr>
              <w:spacing w:after="0" w:line="240" w:lineRule="auto"/>
              <w:ind w:left="504"/>
              <w:rPr>
                <w:rFonts w:ascii="Calibri" w:eastAsia="Times New Roman" w:hAnsi="Calibri" w:cs="Calibri"/>
                <w:color w:val="000000"/>
                <w:sz w:val="17"/>
                <w:szCs w:val="17"/>
              </w:rPr>
            </w:pPr>
            <w:r w:rsidRPr="00407A6C">
              <w:rPr>
                <w:rFonts w:ascii="Calibri" w:eastAsia="Times New Roman" w:hAnsi="Calibri" w:cs="Calibri"/>
                <w:color w:val="000000"/>
                <w:sz w:val="17"/>
                <w:szCs w:val="17"/>
              </w:rPr>
              <w:t>Platelet function analyzer (</w:t>
            </w:r>
            <w:proofErr w:type="spellStart"/>
            <w:r w:rsidRPr="00407A6C">
              <w:rPr>
                <w:rFonts w:ascii="Calibri" w:eastAsia="Times New Roman" w:hAnsi="Calibri" w:cs="Calibri"/>
                <w:color w:val="000000"/>
                <w:sz w:val="17"/>
                <w:szCs w:val="17"/>
              </w:rPr>
              <w:t>eg</w:t>
            </w:r>
            <w:proofErr w:type="spellEnd"/>
            <w:r w:rsidRPr="00407A6C">
              <w:rPr>
                <w:rFonts w:ascii="Calibri" w:eastAsia="Times New Roman" w:hAnsi="Calibri" w:cs="Calibri"/>
                <w:color w:val="000000"/>
                <w:sz w:val="17"/>
                <w:szCs w:val="17"/>
              </w:rPr>
              <w:t xml:space="preserve"> PFA-100)</w:t>
            </w:r>
          </w:p>
          <w:p w:rsidR="00BF3CBF" w:rsidRPr="00407A6C" w:rsidRDefault="00BF3CBF" w:rsidP="004C3BDD">
            <w:pPr>
              <w:pStyle w:val="ListParagraph"/>
              <w:numPr>
                <w:ilvl w:val="1"/>
                <w:numId w:val="7"/>
              </w:numPr>
              <w:spacing w:after="0" w:line="240" w:lineRule="auto"/>
              <w:ind w:left="504"/>
              <w:rPr>
                <w:rFonts w:ascii="Calibri" w:eastAsia="Times New Roman" w:hAnsi="Calibri" w:cs="Calibri"/>
                <w:color w:val="000000"/>
                <w:sz w:val="17"/>
                <w:szCs w:val="17"/>
              </w:rPr>
            </w:pPr>
            <w:proofErr w:type="spellStart"/>
            <w:r w:rsidRPr="00407A6C">
              <w:rPr>
                <w:rFonts w:ascii="Calibri" w:eastAsia="Times New Roman" w:hAnsi="Calibri" w:cs="Calibri"/>
                <w:color w:val="000000"/>
                <w:sz w:val="17"/>
                <w:szCs w:val="17"/>
              </w:rPr>
              <w:t>Turbimetric</w:t>
            </w:r>
            <w:proofErr w:type="spellEnd"/>
            <w:r w:rsidRPr="00407A6C">
              <w:rPr>
                <w:rFonts w:ascii="Calibri" w:eastAsia="Times New Roman" w:hAnsi="Calibri" w:cs="Calibri"/>
                <w:color w:val="000000"/>
                <w:sz w:val="17"/>
                <w:szCs w:val="17"/>
              </w:rPr>
              <w:t xml:space="preserve"> optical detection (</w:t>
            </w:r>
            <w:proofErr w:type="spellStart"/>
            <w:r w:rsidRPr="00407A6C">
              <w:rPr>
                <w:rFonts w:ascii="Calibri" w:eastAsia="Times New Roman" w:hAnsi="Calibri" w:cs="Calibri"/>
                <w:color w:val="000000"/>
                <w:sz w:val="17"/>
                <w:szCs w:val="17"/>
              </w:rPr>
              <w:t>eg</w:t>
            </w:r>
            <w:proofErr w:type="spellEnd"/>
            <w:r w:rsidRPr="00407A6C">
              <w:rPr>
                <w:rFonts w:ascii="Calibri" w:eastAsia="Times New Roman" w:hAnsi="Calibri" w:cs="Calibri"/>
                <w:color w:val="000000"/>
                <w:sz w:val="17"/>
                <w:szCs w:val="17"/>
              </w:rPr>
              <w:t xml:space="preserve"> VerifyNow)</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Default="00BF3CBF" w:rsidP="004C3BDD">
            <w:pPr>
              <w:spacing w:after="0" w:line="240" w:lineRule="auto"/>
              <w:rPr>
                <w:rFonts w:ascii="Calibri" w:eastAsia="Times New Roman" w:hAnsi="Calibri" w:cs="Calibri"/>
                <w:color w:val="C00000"/>
                <w:sz w:val="17"/>
                <w:szCs w:val="17"/>
              </w:rPr>
            </w:pPr>
            <w:r w:rsidRPr="00407A6C">
              <w:rPr>
                <w:rFonts w:ascii="Calibri" w:eastAsia="Times New Roman" w:hAnsi="Calibri" w:cs="Calibri"/>
                <w:color w:val="C00000"/>
                <w:sz w:val="17"/>
                <w:szCs w:val="17"/>
              </w:rPr>
              <w:t>TEG – PLM AA</w:t>
            </w:r>
          </w:p>
          <w:p w:rsidR="00BF3CBF" w:rsidRPr="00407A6C" w:rsidRDefault="00BF3CBF" w:rsidP="004C3BDD">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Platelet transfusions can partially correct the defect</w:t>
            </w:r>
          </w:p>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Desmopressin (DDAVP)</w:t>
            </w:r>
          </w:p>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Rarely, recombinant factor </w:t>
            </w:r>
            <w:proofErr w:type="spellStart"/>
            <w:r w:rsidRPr="00407A6C">
              <w:rPr>
                <w:rFonts w:ascii="Calibri" w:eastAsia="Times New Roman" w:hAnsi="Calibri" w:cs="Calibri"/>
                <w:color w:val="000000"/>
                <w:sz w:val="17"/>
                <w:szCs w:val="17"/>
              </w:rPr>
              <w:t>VIIa</w:t>
            </w:r>
            <w:proofErr w:type="spellEnd"/>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r>
      <w:tr w:rsidR="00BF3CBF" w:rsidRPr="00C75FF4" w:rsidTr="00B74398">
        <w:trPr>
          <w:trHeight w:val="576"/>
        </w:trPr>
        <w:tc>
          <w:tcPr>
            <w:tcW w:w="64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btLr"/>
            <w:vAlign w:val="bottom"/>
            <w:hideMark/>
          </w:tcPr>
          <w:p w:rsidR="00BF3CBF" w:rsidRPr="00C75FF4" w:rsidRDefault="00BF3CBF"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Glycoprotein (GP) IIb/IIIa Inhibitors</w:t>
            </w:r>
          </w:p>
        </w:tc>
        <w:tc>
          <w:tcPr>
            <w:tcW w:w="27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BF3CBF" w:rsidRPr="00431EE5" w:rsidRDefault="00BF3CBF"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Parenteral</w:t>
            </w:r>
          </w:p>
        </w:tc>
        <w:tc>
          <w:tcPr>
            <w:tcW w:w="1260" w:type="dxa"/>
            <w:tcBorders>
              <w:top w:val="nil"/>
              <w:left w:val="nil"/>
              <w:bottom w:val="single" w:sz="4" w:space="0" w:color="auto"/>
              <w:right w:val="single" w:sz="4" w:space="0" w:color="auto"/>
            </w:tcBorders>
            <w:shd w:val="clear" w:color="auto" w:fill="auto"/>
            <w:vAlign w:val="bottom"/>
            <w:hideMark/>
          </w:tcPr>
          <w:p w:rsidR="00BF3CBF" w:rsidRPr="00431EE5" w:rsidRDefault="00BF3CBF"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Abciximab (Reopro)</w:t>
            </w: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Monoclonal antibody fragment specific for the GP IIb/IIIa receptors on the platelet surface, blocking the final common pathway of platelet aggregation</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Enzymatic cleavage</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BF3CBF" w:rsidRPr="00407A6C" w:rsidRDefault="00BF3CBF" w:rsidP="001E664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30 minutes</w:t>
            </w:r>
          </w:p>
          <w:p w:rsidR="00BF3CBF" w:rsidRPr="00407A6C" w:rsidRDefault="00BF3CBF" w:rsidP="001E664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Duration: Platelet function generally recovers within 48 </w:t>
            </w:r>
            <w:proofErr w:type="spellStart"/>
            <w:r w:rsidRPr="00407A6C">
              <w:rPr>
                <w:rFonts w:ascii="Calibri" w:eastAsia="Times New Roman" w:hAnsi="Calibri" w:cs="Calibri"/>
                <w:color w:val="000000"/>
                <w:sz w:val="17"/>
                <w:szCs w:val="17"/>
              </w:rPr>
              <w:t>hrs</w:t>
            </w:r>
            <w:proofErr w:type="spellEnd"/>
            <w:r w:rsidRPr="00407A6C">
              <w:rPr>
                <w:rFonts w:ascii="Calibri" w:eastAsia="Times New Roman" w:hAnsi="Calibri" w:cs="Calibri"/>
                <w:color w:val="000000"/>
                <w:sz w:val="17"/>
                <w:szCs w:val="17"/>
              </w:rPr>
              <w:t>, but can be abnormal for over 7 days</w:t>
            </w:r>
          </w:p>
          <w:p w:rsidR="00BF3CBF" w:rsidRPr="00407A6C" w:rsidRDefault="00BF3CBF" w:rsidP="00407A6C">
            <w:pPr>
              <w:spacing w:after="0" w:line="240" w:lineRule="auto"/>
              <w:rPr>
                <w:rFonts w:ascii="Calibri" w:eastAsia="Times New Roman" w:hAnsi="Calibri" w:cs="Calibri"/>
                <w:color w:val="000000"/>
                <w:sz w:val="17"/>
                <w:szCs w:val="17"/>
              </w:rPr>
            </w:pPr>
          </w:p>
          <w:p w:rsidR="00BF3CBF" w:rsidRPr="00407A6C" w:rsidRDefault="00BF3CBF" w:rsidP="00407A6C">
            <w:pPr>
              <w:spacing w:after="0" w:line="240" w:lineRule="auto"/>
              <w:rPr>
                <w:rFonts w:ascii="Calibri" w:eastAsia="Times New Roman" w:hAnsi="Calibri" w:cs="Calibri"/>
                <w:color w:val="000000"/>
                <w:sz w:val="17"/>
                <w:szCs w:val="17"/>
              </w:rPr>
            </w:pPr>
          </w:p>
          <w:p w:rsidR="00BF3CBF" w:rsidRPr="00407A6C" w:rsidRDefault="00BF3CBF" w:rsidP="00407A6C">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Use as an adjunct to PCI for prevention of cardiac ischemic complications in patients:</w:t>
            </w:r>
          </w:p>
          <w:p w:rsidR="00BF3CBF" w:rsidRPr="00407A6C" w:rsidRDefault="00BF3CBF" w:rsidP="00511CB5">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Undergoing PCI</w:t>
            </w:r>
          </w:p>
          <w:p w:rsidR="00BF3CBF" w:rsidRPr="00407A6C" w:rsidRDefault="00BF3CBF" w:rsidP="00511CB5">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With unstable angina not responding to conventional medical therapy with PCI is planned within 24 hours</w:t>
            </w:r>
          </w:p>
          <w:p w:rsidR="00BF3CBF"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Intended for use with aspirin and heparin</w:t>
            </w:r>
          </w:p>
          <w:p w:rsidR="00BF3CBF" w:rsidRPr="007D20A8" w:rsidRDefault="00BF3CBF" w:rsidP="007D20A8">
            <w:pPr>
              <w:spacing w:after="0" w:line="240" w:lineRule="auto"/>
              <w:rPr>
                <w:rFonts w:ascii="Calibri" w:eastAsia="Times New Roman" w:hAnsi="Calibri" w:cs="Calibri"/>
                <w:color w:val="000000"/>
                <w:sz w:val="17"/>
                <w:szCs w:val="17"/>
              </w:rPr>
            </w:pP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clinically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PLM ADP</w:t>
            </w:r>
            <w:r>
              <w:rPr>
                <w:rFonts w:ascii="Calibri" w:eastAsia="Times New Roman" w:hAnsi="Calibri" w:cs="Calibri"/>
                <w:color w:val="C00000"/>
                <w:sz w:val="17"/>
                <w:szCs w:val="17"/>
              </w:rPr>
              <w:t xml:space="preserve"> &amp; AA</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Platelet transfusions</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r>
      <w:tr w:rsidR="00BF3CBF" w:rsidRPr="00C75FF4" w:rsidTr="00B74398">
        <w:trPr>
          <w:trHeight w:val="576"/>
        </w:trPr>
        <w:tc>
          <w:tcPr>
            <w:tcW w:w="644" w:type="dxa"/>
            <w:vMerge/>
            <w:tcBorders>
              <w:top w:val="single" w:sz="4" w:space="0" w:color="000000"/>
              <w:left w:val="single" w:sz="4" w:space="0" w:color="auto"/>
              <w:bottom w:val="single" w:sz="4" w:space="0" w:color="auto"/>
              <w:right w:val="single" w:sz="4" w:space="0" w:color="auto"/>
            </w:tcBorders>
            <w:shd w:val="clear" w:color="auto" w:fill="EAF1DD" w:themeFill="accent3" w:themeFillTint="33"/>
            <w:vAlign w:val="center"/>
            <w:hideMark/>
          </w:tcPr>
          <w:p w:rsidR="00BF3CBF" w:rsidRPr="00C75FF4" w:rsidRDefault="00BF3CBF" w:rsidP="00C75FF4">
            <w:pPr>
              <w:spacing w:after="0" w:line="240" w:lineRule="auto"/>
              <w:rPr>
                <w:rFonts w:ascii="Calibri" w:eastAsia="Times New Roman" w:hAnsi="Calibri" w:cs="Calibri"/>
                <w:color w:val="000000"/>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BF3CBF" w:rsidRPr="00431EE5" w:rsidRDefault="00BF3CBF"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Parenteral</w:t>
            </w:r>
          </w:p>
        </w:tc>
        <w:tc>
          <w:tcPr>
            <w:tcW w:w="1260" w:type="dxa"/>
            <w:tcBorders>
              <w:top w:val="nil"/>
              <w:left w:val="nil"/>
              <w:bottom w:val="single" w:sz="4" w:space="0" w:color="auto"/>
              <w:right w:val="single" w:sz="4" w:space="0" w:color="auto"/>
            </w:tcBorders>
            <w:shd w:val="clear" w:color="auto" w:fill="auto"/>
            <w:vAlign w:val="bottom"/>
            <w:hideMark/>
          </w:tcPr>
          <w:p w:rsidR="00BF3CBF" w:rsidRPr="00431EE5" w:rsidRDefault="00BF3CBF"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Eptifibatide (Integrilin)</w:t>
            </w: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Inhibits GP IIb/IIIa </w:t>
            </w:r>
            <w:proofErr w:type="spellStart"/>
            <w:r w:rsidRPr="00407A6C">
              <w:rPr>
                <w:rFonts w:ascii="Calibri" w:eastAsia="Times New Roman" w:hAnsi="Calibri" w:cs="Calibri"/>
                <w:color w:val="000000"/>
                <w:sz w:val="17"/>
                <w:szCs w:val="17"/>
              </w:rPr>
              <w:t>receptos</w:t>
            </w:r>
            <w:proofErr w:type="spellEnd"/>
            <w:r w:rsidRPr="00407A6C">
              <w:rPr>
                <w:rFonts w:ascii="Calibri" w:eastAsia="Times New Roman" w:hAnsi="Calibri" w:cs="Calibri"/>
                <w:color w:val="000000"/>
                <w:sz w:val="17"/>
                <w:szCs w:val="17"/>
              </w:rPr>
              <w:t xml:space="preserve"> on the platelet surface, blocking the final common pathway of platelet aggregation</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BF3CBF" w:rsidRPr="00407A6C" w:rsidRDefault="00BF3CBF" w:rsidP="001E664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2</w:t>
            </w:r>
            <w:r>
              <w:rPr>
                <w:rFonts w:ascii="Calibri" w:eastAsia="Times New Roman" w:hAnsi="Calibri" w:cs="Calibri"/>
                <w:color w:val="000000"/>
                <w:sz w:val="17"/>
                <w:szCs w:val="17"/>
              </w:rPr>
              <w:t>.</w:t>
            </w:r>
            <w:r w:rsidRPr="00407A6C">
              <w:rPr>
                <w:rFonts w:ascii="Calibri" w:eastAsia="Times New Roman" w:hAnsi="Calibri" w:cs="Calibri"/>
                <w:color w:val="000000"/>
                <w:sz w:val="17"/>
                <w:szCs w:val="17"/>
              </w:rPr>
              <w:t xml:space="preserve">5 </w:t>
            </w:r>
            <w:r>
              <w:rPr>
                <w:rFonts w:ascii="Calibri" w:eastAsia="Times New Roman" w:hAnsi="Calibri" w:cs="Calibri"/>
                <w:color w:val="000000"/>
                <w:sz w:val="17"/>
                <w:szCs w:val="17"/>
              </w:rPr>
              <w:t>hours</w:t>
            </w:r>
          </w:p>
          <w:p w:rsidR="00BF3CBF" w:rsidRPr="00407A6C" w:rsidRDefault="00BF3CBF" w:rsidP="001E664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Duration: Platelet function recovers 2 to 4 </w:t>
            </w:r>
            <w:r>
              <w:rPr>
                <w:rFonts w:ascii="Calibri" w:eastAsia="Times New Roman" w:hAnsi="Calibri" w:cs="Calibri"/>
                <w:color w:val="000000"/>
                <w:sz w:val="17"/>
                <w:szCs w:val="17"/>
              </w:rPr>
              <w:t xml:space="preserve">hours </w:t>
            </w:r>
            <w:r w:rsidRPr="00407A6C">
              <w:rPr>
                <w:rFonts w:ascii="Calibri" w:eastAsia="Times New Roman" w:hAnsi="Calibri" w:cs="Calibri"/>
                <w:color w:val="000000"/>
                <w:sz w:val="17"/>
                <w:szCs w:val="17"/>
              </w:rPr>
              <w:t>after end of infusion if normal renal function</w:t>
            </w:r>
          </w:p>
          <w:p w:rsidR="00BF3CBF" w:rsidRDefault="00BF3CBF" w:rsidP="004C3BDD">
            <w:pPr>
              <w:pStyle w:val="ListParagraph"/>
              <w:spacing w:after="0" w:line="240" w:lineRule="auto"/>
              <w:ind w:left="360"/>
              <w:rPr>
                <w:rFonts w:ascii="Calibri" w:eastAsia="Times New Roman" w:hAnsi="Calibri" w:cs="Calibri"/>
                <w:color w:val="000000"/>
                <w:sz w:val="17"/>
                <w:szCs w:val="17"/>
              </w:rPr>
            </w:pPr>
          </w:p>
          <w:p w:rsidR="00BF3CBF" w:rsidRPr="00407A6C" w:rsidRDefault="00BF3CBF" w:rsidP="004C3BDD">
            <w:pPr>
              <w:pStyle w:val="ListParagraph"/>
              <w:spacing w:after="0" w:line="240" w:lineRule="auto"/>
              <w:ind w:left="360"/>
              <w:rPr>
                <w:rFonts w:ascii="Calibri" w:eastAsia="Times New Roman" w:hAnsi="Calibri" w:cs="Calibri"/>
                <w:color w:val="000000"/>
                <w:sz w:val="17"/>
                <w:szCs w:val="17"/>
              </w:rPr>
            </w:pPr>
          </w:p>
          <w:p w:rsidR="00BF3CBF" w:rsidRPr="00407A6C" w:rsidRDefault="00BF3CBF" w:rsidP="004C3BDD">
            <w:pPr>
              <w:pStyle w:val="ListParagraph"/>
              <w:spacing w:after="0" w:line="240" w:lineRule="auto"/>
              <w:ind w:left="360"/>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Treatment of ACS (unstable angina/non-ST-segment elevation MI), including patients managed medically and those undergoing PCI</w:t>
            </w:r>
          </w:p>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Treatment of patients undergoing PCI, including those undergoing intracoronary stenting</w:t>
            </w:r>
          </w:p>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Generally used with aspirin and heparin</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clinically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PLM ADP</w:t>
            </w:r>
            <w:r>
              <w:rPr>
                <w:rFonts w:ascii="Calibri" w:eastAsia="Times New Roman" w:hAnsi="Calibri" w:cs="Calibri"/>
                <w:color w:val="C00000"/>
                <w:sz w:val="17"/>
                <w:szCs w:val="17"/>
              </w:rPr>
              <w:t xml:space="preserve"> &amp; AA</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Platelet transfusions</w:t>
            </w:r>
          </w:p>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There may also be a role for cryoprecipitate transfusions</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r>
      <w:tr w:rsidR="00BF3CBF" w:rsidRPr="00C75FF4" w:rsidTr="00B74398">
        <w:trPr>
          <w:trHeight w:val="620"/>
        </w:trPr>
        <w:tc>
          <w:tcPr>
            <w:tcW w:w="644" w:type="dxa"/>
            <w:vMerge/>
            <w:tcBorders>
              <w:top w:val="single" w:sz="4" w:space="0" w:color="000000"/>
              <w:left w:val="single" w:sz="4" w:space="0" w:color="auto"/>
              <w:bottom w:val="single" w:sz="4" w:space="0" w:color="auto"/>
              <w:right w:val="single" w:sz="4" w:space="0" w:color="auto"/>
            </w:tcBorders>
            <w:shd w:val="clear" w:color="auto" w:fill="EAF1DD" w:themeFill="accent3" w:themeFillTint="33"/>
            <w:vAlign w:val="center"/>
            <w:hideMark/>
          </w:tcPr>
          <w:p w:rsidR="00BF3CBF" w:rsidRPr="00C75FF4" w:rsidRDefault="00BF3CBF" w:rsidP="00C75FF4">
            <w:pPr>
              <w:spacing w:after="0" w:line="240" w:lineRule="auto"/>
              <w:rPr>
                <w:rFonts w:ascii="Calibri" w:eastAsia="Times New Roman" w:hAnsi="Calibri" w:cs="Calibri"/>
                <w:color w:val="000000"/>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BF3CBF" w:rsidRPr="00431EE5" w:rsidRDefault="00BF3CBF"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Parenteral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F3CBF" w:rsidRPr="00431EE5" w:rsidRDefault="00BF3CBF"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Tirofiban (Aggrastat)</w:t>
            </w: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p w:rsidR="00BF3CBF" w:rsidRPr="00431EE5" w:rsidRDefault="00BF3CBF"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Inhibits GP IIb/IIIa recepto</w:t>
            </w:r>
            <w:r>
              <w:rPr>
                <w:rFonts w:ascii="Calibri" w:eastAsia="Times New Roman" w:hAnsi="Calibri" w:cs="Calibri"/>
                <w:color w:val="000000"/>
                <w:sz w:val="17"/>
                <w:szCs w:val="17"/>
              </w:rPr>
              <w:t>r</w:t>
            </w:r>
            <w:r w:rsidRPr="00407A6C">
              <w:rPr>
                <w:rFonts w:ascii="Calibri" w:eastAsia="Times New Roman" w:hAnsi="Calibri" w:cs="Calibri"/>
                <w:color w:val="000000"/>
                <w:sz w:val="17"/>
                <w:szCs w:val="17"/>
              </w:rPr>
              <w:t>s on the platelet surface, blocking the final common pathway of platelet aggregation</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BF3CBF" w:rsidRPr="00407A6C" w:rsidRDefault="00BF3CBF"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w:t>
            </w: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BF3CBF" w:rsidRPr="00407A6C" w:rsidRDefault="00BF3CBF" w:rsidP="001E664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1.5 to 3 hours</w:t>
            </w:r>
          </w:p>
          <w:p w:rsidR="00BF3CBF" w:rsidRPr="00BB0999" w:rsidRDefault="00BF3CBF" w:rsidP="00BB099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Platelet function recovers 4-8 hours after end of infusion w/ normal renal function</w:t>
            </w: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BF3CBF" w:rsidRPr="00407A6C" w:rsidRDefault="00BF3CBF" w:rsidP="00511CB5">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Treatment of acute coronary syndrome, including patients who are to be managed medically and those undergoing PTCA or </w:t>
            </w:r>
            <w:proofErr w:type="spellStart"/>
            <w:r w:rsidRPr="00407A6C">
              <w:rPr>
                <w:rFonts w:ascii="Calibri" w:eastAsia="Times New Roman" w:hAnsi="Calibri" w:cs="Calibri"/>
                <w:color w:val="000000"/>
                <w:sz w:val="17"/>
                <w:szCs w:val="17"/>
              </w:rPr>
              <w:t>atherectomy</w:t>
            </w:r>
            <w:proofErr w:type="spellEnd"/>
          </w:p>
          <w:p w:rsidR="00BF3CBF"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Use in combination with heparin</w:t>
            </w:r>
          </w:p>
          <w:p w:rsidR="00BF3CBF" w:rsidRPr="00BB0999" w:rsidRDefault="00BF3CBF" w:rsidP="00BB0999">
            <w:pPr>
              <w:spacing w:after="0" w:line="240" w:lineRule="auto"/>
              <w:rPr>
                <w:rFonts w:ascii="Calibri" w:eastAsia="Times New Roman" w:hAnsi="Calibri" w:cs="Calibri"/>
                <w:color w:val="000000"/>
                <w:sz w:val="17"/>
                <w:szCs w:val="17"/>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clinically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PLM ADP</w:t>
            </w:r>
            <w:r>
              <w:rPr>
                <w:rFonts w:ascii="Calibri" w:eastAsia="Times New Roman" w:hAnsi="Calibri" w:cs="Calibri"/>
                <w:color w:val="C00000"/>
                <w:sz w:val="17"/>
                <w:szCs w:val="17"/>
              </w:rPr>
              <w:t xml:space="preserve"> &amp; AA</w:t>
            </w:r>
          </w:p>
          <w:p w:rsidR="00BF3CBF" w:rsidRPr="00407A6C" w:rsidRDefault="00BF3CBF" w:rsidP="004C3BDD">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Platelet transfusions</w:t>
            </w:r>
          </w:p>
          <w:p w:rsidR="00BF3CBF" w:rsidRPr="00407A6C" w:rsidRDefault="00BF3CBF" w:rsidP="004C3BDD">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There may also be a role for cryoprecipitate transfusions</w:t>
            </w: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p w:rsidR="00BF3CBF" w:rsidRPr="00407A6C" w:rsidRDefault="00BF3CBF" w:rsidP="004C3BDD">
            <w:pPr>
              <w:spacing w:after="0" w:line="240" w:lineRule="auto"/>
              <w:rPr>
                <w:rFonts w:ascii="Calibri" w:eastAsia="Times New Roman" w:hAnsi="Calibri" w:cs="Calibri"/>
                <w:color w:val="000000"/>
                <w:sz w:val="17"/>
                <w:szCs w:val="17"/>
              </w:rPr>
            </w:pPr>
          </w:p>
        </w:tc>
      </w:tr>
      <w:tr w:rsidR="00BF3CBF" w:rsidRPr="00C75FF4" w:rsidTr="00666296">
        <w:trPr>
          <w:trHeight w:val="620"/>
        </w:trPr>
        <w:tc>
          <w:tcPr>
            <w:tcW w:w="644" w:type="dxa"/>
            <w:tcBorders>
              <w:top w:val="single" w:sz="4" w:space="0" w:color="auto"/>
              <w:left w:val="single" w:sz="4" w:space="0" w:color="auto"/>
              <w:bottom w:val="single" w:sz="4" w:space="0" w:color="auto"/>
            </w:tcBorders>
            <w:vAlign w:val="center"/>
          </w:tcPr>
          <w:p w:rsidR="00BF3CBF" w:rsidRPr="00C75FF4" w:rsidRDefault="00BF3CBF" w:rsidP="00C75FF4">
            <w:pPr>
              <w:spacing w:after="0" w:line="240" w:lineRule="auto"/>
              <w:rPr>
                <w:rFonts w:ascii="Calibri" w:eastAsia="Times New Roman" w:hAnsi="Calibri" w:cs="Calibri"/>
                <w:color w:val="000000"/>
                <w:sz w:val="20"/>
                <w:szCs w:val="20"/>
              </w:rPr>
            </w:pPr>
          </w:p>
        </w:tc>
        <w:tc>
          <w:tcPr>
            <w:tcW w:w="271" w:type="dxa"/>
            <w:tcBorders>
              <w:top w:val="single" w:sz="4" w:space="0" w:color="auto"/>
              <w:bottom w:val="single" w:sz="4" w:space="0" w:color="auto"/>
            </w:tcBorders>
            <w:shd w:val="clear" w:color="auto" w:fill="auto"/>
            <w:noWrap/>
            <w:vAlign w:val="bottom"/>
          </w:tcPr>
          <w:p w:rsidR="00BF3CBF" w:rsidRPr="00C75FF4" w:rsidRDefault="00BF3CBF" w:rsidP="00C75FF4">
            <w:pPr>
              <w:spacing w:after="0" w:line="240" w:lineRule="auto"/>
              <w:rPr>
                <w:rFonts w:ascii="Calibri" w:eastAsia="Times New Roman" w:hAnsi="Calibri" w:cs="Calibri"/>
                <w:color w:val="000000"/>
                <w:sz w:val="20"/>
                <w:szCs w:val="20"/>
              </w:rPr>
            </w:pPr>
          </w:p>
        </w:tc>
        <w:tc>
          <w:tcPr>
            <w:tcW w:w="1260" w:type="dxa"/>
            <w:tcBorders>
              <w:top w:val="single" w:sz="4" w:space="0" w:color="auto"/>
              <w:bottom w:val="single" w:sz="4" w:space="0" w:color="auto"/>
            </w:tcBorders>
            <w:shd w:val="clear" w:color="auto" w:fill="auto"/>
            <w:vAlign w:val="bottom"/>
          </w:tcPr>
          <w:p w:rsidR="00BF3CBF" w:rsidRDefault="00BF3CBF" w:rsidP="00C75FF4">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Notes:</w:t>
            </w:r>
          </w:p>
          <w:p w:rsidR="00BF3CBF" w:rsidRDefault="00BF3CBF" w:rsidP="00C75FF4">
            <w:pPr>
              <w:spacing w:after="0" w:line="240" w:lineRule="auto"/>
              <w:rPr>
                <w:rFonts w:ascii="Calibri" w:eastAsia="Times New Roman" w:hAnsi="Calibri" w:cs="Calibri"/>
                <w:color w:val="000000"/>
                <w:sz w:val="17"/>
                <w:szCs w:val="17"/>
              </w:rPr>
            </w:pPr>
          </w:p>
          <w:p w:rsidR="00BF3CBF" w:rsidRDefault="00BF3CBF" w:rsidP="00C75FF4">
            <w:pPr>
              <w:spacing w:after="0" w:line="240" w:lineRule="auto"/>
              <w:rPr>
                <w:rFonts w:ascii="Calibri" w:eastAsia="Times New Roman" w:hAnsi="Calibri" w:cs="Calibri"/>
                <w:color w:val="000000"/>
                <w:sz w:val="17"/>
                <w:szCs w:val="17"/>
              </w:rPr>
            </w:pPr>
          </w:p>
          <w:p w:rsidR="00BF3CBF" w:rsidRPr="00407A6C" w:rsidRDefault="00BF3CBF"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bottom w:val="single" w:sz="4" w:space="0" w:color="auto"/>
            </w:tcBorders>
            <w:shd w:val="clear" w:color="auto" w:fill="auto"/>
            <w:noWrap/>
            <w:vAlign w:val="bottom"/>
          </w:tcPr>
          <w:p w:rsidR="00BF3CBF" w:rsidRPr="00407A6C" w:rsidRDefault="00BF3CBF"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bottom w:val="single" w:sz="4" w:space="0" w:color="auto"/>
            </w:tcBorders>
            <w:shd w:val="clear" w:color="auto" w:fill="auto"/>
            <w:noWrap/>
            <w:vAlign w:val="bottom"/>
          </w:tcPr>
          <w:p w:rsidR="00BF3CBF" w:rsidRPr="00407A6C" w:rsidRDefault="00BF3CBF"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bottom w:val="single" w:sz="4" w:space="0" w:color="auto"/>
            </w:tcBorders>
            <w:shd w:val="clear" w:color="auto" w:fill="auto"/>
            <w:noWrap/>
            <w:vAlign w:val="bottom"/>
          </w:tcPr>
          <w:p w:rsidR="00BF3CBF" w:rsidRPr="00407A6C" w:rsidRDefault="00BF3CBF" w:rsidP="00F006A9">
            <w:pPr>
              <w:pStyle w:val="ListParagraph"/>
              <w:spacing w:after="0" w:line="240" w:lineRule="auto"/>
              <w:ind w:left="360"/>
              <w:rPr>
                <w:rFonts w:ascii="Calibri" w:eastAsia="Times New Roman" w:hAnsi="Calibri" w:cs="Calibri"/>
                <w:color w:val="000000"/>
                <w:sz w:val="17"/>
                <w:szCs w:val="17"/>
              </w:rPr>
            </w:pPr>
          </w:p>
        </w:tc>
        <w:tc>
          <w:tcPr>
            <w:tcW w:w="2970" w:type="dxa"/>
            <w:gridSpan w:val="4"/>
            <w:tcBorders>
              <w:top w:val="single" w:sz="4" w:space="0" w:color="auto"/>
              <w:bottom w:val="single" w:sz="4" w:space="0" w:color="auto"/>
            </w:tcBorders>
            <w:shd w:val="clear" w:color="auto" w:fill="auto"/>
            <w:noWrap/>
            <w:vAlign w:val="bottom"/>
          </w:tcPr>
          <w:p w:rsidR="00BF3CBF" w:rsidRPr="00407A6C" w:rsidRDefault="00BF3CBF" w:rsidP="00F006A9">
            <w:pPr>
              <w:pStyle w:val="ListParagraph"/>
              <w:spacing w:after="0" w:line="240" w:lineRule="auto"/>
              <w:ind w:left="360"/>
              <w:rPr>
                <w:rFonts w:ascii="Calibri" w:eastAsia="Times New Roman" w:hAnsi="Calibri" w:cs="Calibri"/>
                <w:color w:val="000000"/>
                <w:sz w:val="17"/>
                <w:szCs w:val="17"/>
              </w:rPr>
            </w:pPr>
          </w:p>
        </w:tc>
        <w:tc>
          <w:tcPr>
            <w:tcW w:w="1890" w:type="dxa"/>
            <w:gridSpan w:val="3"/>
            <w:tcBorders>
              <w:top w:val="single" w:sz="4" w:space="0" w:color="auto"/>
              <w:bottom w:val="single" w:sz="4" w:space="0" w:color="auto"/>
            </w:tcBorders>
            <w:shd w:val="clear" w:color="auto" w:fill="auto"/>
            <w:noWrap/>
            <w:vAlign w:val="bottom"/>
          </w:tcPr>
          <w:p w:rsidR="00BF3CBF" w:rsidRPr="00407A6C" w:rsidRDefault="00BF3CBF" w:rsidP="00F006A9">
            <w:pPr>
              <w:pStyle w:val="ListParagraph"/>
              <w:spacing w:after="0" w:line="240" w:lineRule="auto"/>
              <w:ind w:left="360"/>
              <w:rPr>
                <w:rFonts w:ascii="Calibri" w:eastAsia="Times New Roman" w:hAnsi="Calibri" w:cs="Calibri"/>
                <w:color w:val="000000"/>
                <w:sz w:val="17"/>
                <w:szCs w:val="17"/>
              </w:rPr>
            </w:pPr>
          </w:p>
        </w:tc>
        <w:tc>
          <w:tcPr>
            <w:tcW w:w="2880" w:type="dxa"/>
            <w:tcBorders>
              <w:top w:val="single" w:sz="4" w:space="0" w:color="auto"/>
              <w:bottom w:val="single" w:sz="4" w:space="0" w:color="auto"/>
              <w:right w:val="single" w:sz="4" w:space="0" w:color="auto"/>
            </w:tcBorders>
            <w:shd w:val="clear" w:color="auto" w:fill="auto"/>
            <w:noWrap/>
            <w:vAlign w:val="bottom"/>
          </w:tcPr>
          <w:p w:rsidR="00BF3CBF" w:rsidRPr="00407A6C" w:rsidRDefault="00BF3CBF" w:rsidP="00F006A9">
            <w:pPr>
              <w:pStyle w:val="ListParagraph"/>
              <w:spacing w:after="0" w:line="240" w:lineRule="auto"/>
              <w:ind w:left="360"/>
              <w:rPr>
                <w:rFonts w:ascii="Calibri" w:eastAsia="Times New Roman" w:hAnsi="Calibri" w:cs="Calibri"/>
                <w:color w:val="000000"/>
                <w:sz w:val="17"/>
                <w:szCs w:val="17"/>
              </w:rPr>
            </w:pPr>
          </w:p>
        </w:tc>
      </w:tr>
      <w:tr w:rsidR="00BF3CBF" w:rsidRPr="00C75FF4" w:rsidTr="00B74398">
        <w:trPr>
          <w:trHeight w:val="890"/>
        </w:trPr>
        <w:tc>
          <w:tcPr>
            <w:tcW w:w="644" w:type="dxa"/>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BF3CBF" w:rsidRPr="00C75FF4" w:rsidRDefault="00BF3CBF" w:rsidP="00480F91">
            <w:pPr>
              <w:spacing w:after="0" w:line="240" w:lineRule="auto"/>
              <w:jc w:val="right"/>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lastRenderedPageBreak/>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Agent</w:t>
            </w:r>
          </w:p>
        </w:tc>
        <w:tc>
          <w:tcPr>
            <w:tcW w:w="198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Clearance</w:t>
            </w:r>
          </w:p>
        </w:tc>
        <w:tc>
          <w:tcPr>
            <w:tcW w:w="1800" w:type="dxa"/>
            <w:gridSpan w:val="5"/>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Usual Half Lif</w:t>
            </w:r>
            <w:r w:rsidRPr="00C75FF4">
              <w:rPr>
                <w:rFonts w:ascii="Calibri" w:eastAsia="Times New Roman" w:hAnsi="Calibri" w:cs="Calibri"/>
                <w:b/>
                <w:bCs/>
                <w:color w:val="000000"/>
                <w:sz w:val="20"/>
                <w:szCs w:val="20"/>
              </w:rPr>
              <w:t xml:space="preserve">e </w:t>
            </w:r>
            <w:r>
              <w:rPr>
                <w:rFonts w:ascii="Calibri" w:eastAsia="Times New Roman" w:hAnsi="Calibri" w:cs="Calibri"/>
                <w:b/>
                <w:bCs/>
                <w:color w:val="000000"/>
                <w:sz w:val="20"/>
                <w:szCs w:val="20"/>
              </w:rPr>
              <w:t>(t</w:t>
            </w:r>
            <w:r w:rsidRPr="00480F91">
              <w:rPr>
                <w:rFonts w:ascii="Calibri" w:eastAsia="Times New Roman" w:hAnsi="Calibri" w:cs="Calibri"/>
                <w:b/>
                <w:bCs/>
                <w:color w:val="000000"/>
                <w:sz w:val="20"/>
                <w:szCs w:val="20"/>
                <w:vertAlign w:val="subscript"/>
              </w:rPr>
              <w:t>1/2</w:t>
            </w:r>
            <w:r>
              <w:rPr>
                <w:rFonts w:ascii="Calibri" w:eastAsia="Times New Roman" w:hAnsi="Calibri" w:cs="Calibri"/>
                <w:b/>
                <w:bCs/>
                <w:color w:val="000000"/>
                <w:sz w:val="20"/>
                <w:szCs w:val="20"/>
              </w:rPr>
              <w:t xml:space="preserve">) </w:t>
            </w:r>
            <w:r w:rsidRPr="00C75FF4">
              <w:rPr>
                <w:rFonts w:ascii="Calibri" w:eastAsia="Times New Roman" w:hAnsi="Calibri" w:cs="Calibri"/>
                <w:b/>
                <w:bCs/>
                <w:color w:val="000000"/>
                <w:sz w:val="20"/>
                <w:szCs w:val="20"/>
              </w:rPr>
              <w:t>&amp; Duration of Effect</w:t>
            </w:r>
          </w:p>
        </w:tc>
        <w:tc>
          <w:tcPr>
            <w:tcW w:w="2970" w:type="dxa"/>
            <w:gridSpan w:val="4"/>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Most Common Indications</w:t>
            </w:r>
          </w:p>
        </w:tc>
        <w:tc>
          <w:tcPr>
            <w:tcW w:w="1890" w:type="dxa"/>
            <w:gridSpan w:val="3"/>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Monitoring Methods</w:t>
            </w:r>
          </w:p>
        </w:tc>
        <w:tc>
          <w:tcPr>
            <w:tcW w:w="2880" w:type="dxa"/>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BF3CBF" w:rsidRPr="00C75FF4" w:rsidRDefault="00BF3CBF" w:rsidP="00C75FF4">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Strategies for Rapid Reversal and/or Hemostatic Correction</w:t>
            </w:r>
          </w:p>
        </w:tc>
      </w:tr>
      <w:tr w:rsidR="00393637" w:rsidRPr="00C75FF4" w:rsidTr="00B74398">
        <w:trPr>
          <w:trHeight w:val="2016"/>
        </w:trPr>
        <w:tc>
          <w:tcPr>
            <w:tcW w:w="644" w:type="dxa"/>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noWrap/>
            <w:textDirection w:val="btLr"/>
            <w:vAlign w:val="center"/>
            <w:hideMark/>
          </w:tcPr>
          <w:p w:rsidR="00393637" w:rsidRPr="00C75FF4" w:rsidRDefault="00393637"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Adenosine Phosphate (ADP) Induced Platelet Aggregation Inhibitors</w:t>
            </w:r>
          </w:p>
        </w:tc>
        <w:tc>
          <w:tcPr>
            <w:tcW w:w="271" w:type="dxa"/>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393637" w:rsidRPr="00431EE5" w:rsidRDefault="00393637"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PO</w:t>
            </w:r>
          </w:p>
        </w:tc>
        <w:tc>
          <w:tcPr>
            <w:tcW w:w="1260" w:type="dxa"/>
            <w:tcBorders>
              <w:top w:val="nil"/>
              <w:left w:val="nil"/>
              <w:bottom w:val="single" w:sz="4" w:space="0" w:color="auto"/>
              <w:right w:val="single" w:sz="4" w:space="0" w:color="auto"/>
            </w:tcBorders>
            <w:shd w:val="clear" w:color="auto" w:fill="auto"/>
            <w:vAlign w:val="bottom"/>
            <w:hideMark/>
          </w:tcPr>
          <w:p w:rsidR="00393637" w:rsidRPr="00431EE5" w:rsidRDefault="00393637"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Clopidogrel (Plavix)</w:t>
            </w: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hideMark/>
          </w:tcPr>
          <w:p w:rsidR="00393637" w:rsidRPr="00407A6C" w:rsidRDefault="00393637"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Binds to ADP P2Y12 receptors on platelets, preventing ADP from binding to &amp; activating GP IIb/IIIa receptors</w:t>
            </w: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393637" w:rsidRPr="00407A6C" w:rsidRDefault="00393637"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Hepatic and Renal</w:t>
            </w: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393637" w:rsidRPr="00407A6C" w:rsidRDefault="00393637"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6 hours</w:t>
            </w:r>
          </w:p>
          <w:p w:rsidR="00393637" w:rsidRPr="00407A6C" w:rsidRDefault="00393637"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5 to 7 days</w:t>
            </w: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393637" w:rsidRPr="00407A6C" w:rsidRDefault="00393637" w:rsidP="00AE1C4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ACS for patients with:</w:t>
            </w:r>
          </w:p>
          <w:p w:rsidR="00393637" w:rsidRPr="00407A6C" w:rsidRDefault="00393637" w:rsidP="00AE1C43">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Non-ST segment elevation ACS including patients who are to be managed medically &amp; those who are to be managed with coronary revascularization</w:t>
            </w:r>
          </w:p>
          <w:p w:rsidR="00393637" w:rsidRPr="00407A6C" w:rsidRDefault="00393637" w:rsidP="00AE1C43">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ST-elevation myocardial infarction (STEMI), who undergo primary PCI</w:t>
            </w:r>
          </w:p>
          <w:p w:rsidR="00393637" w:rsidRDefault="00393637" w:rsidP="00AE1C4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Recent myocardial infarction (MI), recent stroke or established peripheral arterial disease</w:t>
            </w:r>
          </w:p>
          <w:p w:rsidR="00393637" w:rsidRDefault="00393637" w:rsidP="00F05453">
            <w:pPr>
              <w:spacing w:after="0" w:line="240" w:lineRule="auto"/>
              <w:rPr>
                <w:rFonts w:ascii="Calibri" w:eastAsia="Times New Roman" w:hAnsi="Calibri" w:cs="Calibri"/>
                <w:color w:val="000000"/>
                <w:sz w:val="17"/>
                <w:szCs w:val="17"/>
              </w:rPr>
            </w:pPr>
          </w:p>
          <w:p w:rsidR="00393637" w:rsidRDefault="00393637" w:rsidP="00F05453">
            <w:pPr>
              <w:spacing w:after="0" w:line="240" w:lineRule="auto"/>
              <w:rPr>
                <w:rFonts w:ascii="Calibri" w:eastAsia="Times New Roman" w:hAnsi="Calibri" w:cs="Calibri"/>
                <w:color w:val="000000"/>
                <w:sz w:val="17"/>
                <w:szCs w:val="17"/>
              </w:rPr>
            </w:pPr>
          </w:p>
          <w:p w:rsidR="00393637" w:rsidRPr="00F05453" w:rsidRDefault="00393637" w:rsidP="00F05453">
            <w:pPr>
              <w:spacing w:after="0" w:line="240" w:lineRule="auto"/>
              <w:rPr>
                <w:rFonts w:ascii="Calibri" w:eastAsia="Times New Roman" w:hAnsi="Calibri" w:cs="Calibri"/>
                <w:color w:val="000000"/>
                <w:sz w:val="17"/>
                <w:szCs w:val="17"/>
              </w:rPr>
            </w:pP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393637" w:rsidRPr="00407A6C" w:rsidRDefault="00393637" w:rsidP="00EC5B8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393637" w:rsidRPr="00407A6C" w:rsidRDefault="00393637" w:rsidP="00EC5B8E">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Potential roles for:</w:t>
            </w:r>
          </w:p>
          <w:p w:rsidR="00393637" w:rsidRPr="00407A6C" w:rsidRDefault="00393637" w:rsidP="008B18D3">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Platelet </w:t>
            </w:r>
            <w:proofErr w:type="spellStart"/>
            <w:r w:rsidRPr="00407A6C">
              <w:rPr>
                <w:rFonts w:ascii="Calibri" w:eastAsia="Times New Roman" w:hAnsi="Calibri" w:cs="Calibri"/>
                <w:color w:val="000000"/>
                <w:sz w:val="17"/>
                <w:szCs w:val="17"/>
              </w:rPr>
              <w:t>aggregometry</w:t>
            </w:r>
            <w:proofErr w:type="spellEnd"/>
          </w:p>
          <w:p w:rsidR="00393637" w:rsidRPr="00407A6C" w:rsidRDefault="00393637" w:rsidP="00652912">
            <w:pPr>
              <w:pStyle w:val="ListParagraph"/>
              <w:numPr>
                <w:ilvl w:val="1"/>
                <w:numId w:val="7"/>
              </w:numPr>
              <w:spacing w:after="0" w:line="240" w:lineRule="auto"/>
              <w:ind w:left="792"/>
              <w:rPr>
                <w:rFonts w:ascii="Calibri" w:eastAsia="Times New Roman" w:hAnsi="Calibri" w:cs="Calibri"/>
                <w:color w:val="000000"/>
                <w:sz w:val="17"/>
                <w:szCs w:val="17"/>
              </w:rPr>
            </w:pPr>
            <w:proofErr w:type="spellStart"/>
            <w:r w:rsidRPr="00407A6C">
              <w:rPr>
                <w:rFonts w:ascii="Calibri" w:eastAsia="Times New Roman" w:hAnsi="Calibri" w:cs="Calibri"/>
                <w:color w:val="000000"/>
                <w:sz w:val="17"/>
                <w:szCs w:val="17"/>
              </w:rPr>
              <w:t>Turbimetric</w:t>
            </w:r>
            <w:proofErr w:type="spellEnd"/>
            <w:r w:rsidRPr="00407A6C">
              <w:rPr>
                <w:rFonts w:ascii="Calibri" w:eastAsia="Times New Roman" w:hAnsi="Calibri" w:cs="Calibri"/>
                <w:color w:val="000000"/>
                <w:sz w:val="17"/>
                <w:szCs w:val="17"/>
              </w:rPr>
              <w:t xml:space="preserve"> optical detection (</w:t>
            </w:r>
            <w:proofErr w:type="spellStart"/>
            <w:r w:rsidRPr="00407A6C">
              <w:rPr>
                <w:rFonts w:ascii="Calibri" w:eastAsia="Times New Roman" w:hAnsi="Calibri" w:cs="Calibri"/>
                <w:color w:val="000000"/>
                <w:sz w:val="17"/>
                <w:szCs w:val="17"/>
              </w:rPr>
              <w:t>eg</w:t>
            </w:r>
            <w:proofErr w:type="spellEnd"/>
            <w:r w:rsidRPr="00407A6C">
              <w:rPr>
                <w:rFonts w:ascii="Calibri" w:eastAsia="Times New Roman" w:hAnsi="Calibri" w:cs="Calibri"/>
                <w:color w:val="000000"/>
                <w:sz w:val="17"/>
                <w:szCs w:val="17"/>
              </w:rPr>
              <w:t xml:space="preserve"> VerifyNow)</w:t>
            </w: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PLM ADP</w:t>
            </w:r>
          </w:p>
          <w:p w:rsidR="00393637" w:rsidRPr="00407A6C" w:rsidRDefault="00393637" w:rsidP="005276BA">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hideMark/>
          </w:tcPr>
          <w:p w:rsidR="00393637" w:rsidRPr="00407A6C" w:rsidRDefault="00393637" w:rsidP="008B18D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Platelet transfusions can partially correct the defect</w:t>
            </w:r>
          </w:p>
          <w:p w:rsidR="00393637" w:rsidRPr="00407A6C" w:rsidRDefault="00393637" w:rsidP="008B18D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Desmopressin may be helpful</w:t>
            </w:r>
          </w:p>
          <w:p w:rsidR="00393637" w:rsidRPr="00407A6C" w:rsidRDefault="00393637" w:rsidP="008B18D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Very rarely consider recombinant factor </w:t>
            </w:r>
            <w:proofErr w:type="spellStart"/>
            <w:r w:rsidRPr="00407A6C">
              <w:rPr>
                <w:rFonts w:ascii="Calibri" w:eastAsia="Times New Roman" w:hAnsi="Calibri" w:cs="Calibri"/>
                <w:color w:val="000000"/>
                <w:sz w:val="17"/>
                <w:szCs w:val="17"/>
              </w:rPr>
              <w:t>VIIa</w:t>
            </w:r>
            <w:proofErr w:type="spellEnd"/>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tc>
      </w:tr>
      <w:tr w:rsidR="00393637" w:rsidRPr="00C75FF4" w:rsidTr="00B74398">
        <w:trPr>
          <w:trHeight w:val="2016"/>
        </w:trPr>
        <w:tc>
          <w:tcPr>
            <w:tcW w:w="64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93637" w:rsidRPr="00C75FF4" w:rsidRDefault="00393637" w:rsidP="00C75FF4">
            <w:pPr>
              <w:spacing w:after="0" w:line="240" w:lineRule="auto"/>
              <w:rPr>
                <w:rFonts w:ascii="Calibri" w:eastAsia="Times New Roman" w:hAnsi="Calibri" w:cs="Calibri"/>
                <w:color w:val="000000"/>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3637" w:rsidRPr="00431EE5" w:rsidRDefault="00393637"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PO</w:t>
            </w:r>
          </w:p>
        </w:tc>
        <w:tc>
          <w:tcPr>
            <w:tcW w:w="1260" w:type="dxa"/>
            <w:tcBorders>
              <w:top w:val="nil"/>
              <w:left w:val="nil"/>
              <w:bottom w:val="single" w:sz="4" w:space="0" w:color="auto"/>
              <w:right w:val="single" w:sz="4" w:space="0" w:color="auto"/>
            </w:tcBorders>
            <w:shd w:val="clear" w:color="auto" w:fill="auto"/>
            <w:vAlign w:val="bottom"/>
            <w:hideMark/>
          </w:tcPr>
          <w:p w:rsidR="00393637" w:rsidRPr="00431EE5" w:rsidRDefault="00393637"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Prasugrel (Effient)</w:t>
            </w: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hideMark/>
          </w:tcPr>
          <w:p w:rsidR="00393637" w:rsidRPr="00407A6C" w:rsidRDefault="00393637"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Binds to ADP P2Y12 receptors on platelets, preventing ADP from binding to &amp; activating GP IIb/IIIa receptors</w:t>
            </w: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393637" w:rsidRPr="00407A6C" w:rsidRDefault="00393637"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Renal and Hepatic</w:t>
            </w: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393637" w:rsidRPr="00407A6C" w:rsidRDefault="00393637"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17 to 21 hours</w:t>
            </w:r>
          </w:p>
          <w:p w:rsidR="00393637" w:rsidRPr="00407A6C" w:rsidRDefault="00393637"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5 to 9 days</w:t>
            </w: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393637" w:rsidRPr="00407A6C" w:rsidRDefault="00393637" w:rsidP="00AE1C4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Reduction of thrombotic cardiovascular events (including stent thrombosis) in patients with ACS who are to be managed with PCI as follows:</w:t>
            </w:r>
          </w:p>
          <w:p w:rsidR="00393637" w:rsidRPr="00407A6C" w:rsidRDefault="00393637" w:rsidP="00DF04D0">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Patients with unstable angina or non-ST elevation myocardial infarction (NSTEMI)</w:t>
            </w:r>
          </w:p>
          <w:p w:rsidR="00393637" w:rsidRPr="00407A6C" w:rsidRDefault="00393637" w:rsidP="00DF04D0">
            <w:pPr>
              <w:pStyle w:val="ListParagraph"/>
              <w:numPr>
                <w:ilvl w:val="1"/>
                <w:numId w:val="7"/>
              </w:numPr>
              <w:spacing w:after="0" w:line="240" w:lineRule="auto"/>
              <w:ind w:left="792"/>
              <w:rPr>
                <w:rFonts w:ascii="Calibri" w:eastAsia="Times New Roman" w:hAnsi="Calibri" w:cs="Calibri"/>
                <w:color w:val="000000"/>
                <w:sz w:val="17"/>
                <w:szCs w:val="17"/>
              </w:rPr>
            </w:pPr>
            <w:r w:rsidRPr="00407A6C">
              <w:rPr>
                <w:rFonts w:ascii="Calibri" w:eastAsia="Times New Roman" w:hAnsi="Calibri" w:cs="Calibri"/>
                <w:color w:val="000000"/>
                <w:sz w:val="17"/>
                <w:szCs w:val="17"/>
              </w:rPr>
              <w:t>Patients with ST-elevation myocardial infarction (STEMI) when managed with either primary of delayed PCI</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393637" w:rsidRPr="00407A6C" w:rsidRDefault="00393637" w:rsidP="008B18D3">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clinically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PLM ADP</w:t>
            </w: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p w:rsidR="00393637" w:rsidRPr="00407A6C" w:rsidRDefault="00393637" w:rsidP="005276BA">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hideMark/>
          </w:tcPr>
          <w:p w:rsidR="00393637" w:rsidRPr="00407A6C" w:rsidRDefault="00393637" w:rsidP="00C75FF4">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(same as for Clopidogrel)</w:t>
            </w: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r>
      <w:tr w:rsidR="00393637" w:rsidRPr="00C75FF4" w:rsidTr="00B74398">
        <w:trPr>
          <w:trHeight w:val="1880"/>
        </w:trPr>
        <w:tc>
          <w:tcPr>
            <w:tcW w:w="64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93637" w:rsidRPr="00C75FF4" w:rsidRDefault="00393637" w:rsidP="00C75FF4">
            <w:pPr>
              <w:spacing w:after="0" w:line="240" w:lineRule="auto"/>
              <w:rPr>
                <w:rFonts w:ascii="Calibri" w:eastAsia="Times New Roman" w:hAnsi="Calibri" w:cs="Calibri"/>
                <w:color w:val="000000"/>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393637" w:rsidRPr="00431EE5" w:rsidRDefault="00393637"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PO</w:t>
            </w:r>
          </w:p>
        </w:tc>
        <w:tc>
          <w:tcPr>
            <w:tcW w:w="1260" w:type="dxa"/>
            <w:tcBorders>
              <w:top w:val="nil"/>
              <w:left w:val="nil"/>
              <w:bottom w:val="single" w:sz="4" w:space="0" w:color="auto"/>
              <w:right w:val="single" w:sz="4" w:space="0" w:color="auto"/>
            </w:tcBorders>
            <w:shd w:val="clear" w:color="auto" w:fill="auto"/>
            <w:vAlign w:val="bottom"/>
          </w:tcPr>
          <w:p w:rsidR="00393637" w:rsidRPr="00431EE5" w:rsidRDefault="00393637" w:rsidP="00BB0999">
            <w:pPr>
              <w:spacing w:after="0" w:line="240" w:lineRule="auto"/>
              <w:rPr>
                <w:rFonts w:ascii="Calibri" w:eastAsia="Times New Roman" w:hAnsi="Calibri" w:cs="Calibri"/>
                <w:color w:val="000000"/>
                <w:sz w:val="17"/>
                <w:szCs w:val="17"/>
              </w:rPr>
            </w:pPr>
            <w:proofErr w:type="spellStart"/>
            <w:r w:rsidRPr="00431EE5">
              <w:rPr>
                <w:rFonts w:ascii="Calibri" w:eastAsia="Times New Roman" w:hAnsi="Calibri" w:cs="Calibri"/>
                <w:color w:val="000000"/>
                <w:sz w:val="17"/>
                <w:szCs w:val="17"/>
              </w:rPr>
              <w:t>Ticagrelor</w:t>
            </w:r>
            <w:proofErr w:type="spellEnd"/>
            <w:r w:rsidRPr="00431EE5">
              <w:rPr>
                <w:rFonts w:ascii="Calibri" w:eastAsia="Times New Roman" w:hAnsi="Calibri" w:cs="Calibri"/>
                <w:color w:val="000000"/>
                <w:sz w:val="17"/>
                <w:szCs w:val="17"/>
              </w:rPr>
              <w:t xml:space="preserve"> (Brilinta)</w:t>
            </w: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p w:rsidR="00393637" w:rsidRPr="00431EE5" w:rsidRDefault="00393637"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tcPr>
          <w:p w:rsidR="00393637" w:rsidRPr="00407A6C" w:rsidRDefault="00393637" w:rsidP="00BB0999">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Reversibly Interacts with the ADP P2Y12 receptors on platelets, preventing ADP from binding &amp; activating GP IIb/IIIa receptors</w:t>
            </w: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tcPr>
          <w:p w:rsidR="00393637" w:rsidRPr="00407A6C" w:rsidRDefault="00393637" w:rsidP="00BB0999">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Hepatic and Renal</w:t>
            </w: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tcPr>
          <w:p w:rsidR="00393637" w:rsidRPr="00407A6C" w:rsidRDefault="00393637" w:rsidP="00BB099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t</w:t>
            </w:r>
            <w:r w:rsidRPr="00407A6C">
              <w:rPr>
                <w:rFonts w:ascii="Calibri" w:eastAsia="Times New Roman" w:hAnsi="Calibri" w:cs="Calibri"/>
                <w:color w:val="000000"/>
                <w:sz w:val="17"/>
                <w:szCs w:val="17"/>
                <w:vertAlign w:val="subscript"/>
              </w:rPr>
              <w:t>½</w:t>
            </w:r>
            <w:r w:rsidRPr="00407A6C">
              <w:rPr>
                <w:rFonts w:ascii="Calibri" w:eastAsia="Times New Roman" w:hAnsi="Calibri" w:cs="Calibri"/>
                <w:color w:val="000000"/>
                <w:sz w:val="17"/>
                <w:szCs w:val="17"/>
              </w:rPr>
              <w:t>: 7 hours</w:t>
            </w:r>
          </w:p>
          <w:p w:rsidR="00393637" w:rsidRPr="00407A6C" w:rsidRDefault="00393637" w:rsidP="00BB099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Duration: approx. 5 days after multiple doses</w:t>
            </w:r>
          </w:p>
          <w:p w:rsidR="00393637" w:rsidRDefault="00393637" w:rsidP="00BB0999">
            <w:pPr>
              <w:spacing w:after="0" w:line="240" w:lineRule="auto"/>
              <w:rPr>
                <w:rFonts w:ascii="Calibri" w:eastAsia="Times New Roman" w:hAnsi="Calibri" w:cs="Calibri"/>
                <w:color w:val="000000"/>
                <w:sz w:val="17"/>
                <w:szCs w:val="17"/>
              </w:rPr>
            </w:pPr>
          </w:p>
          <w:p w:rsidR="00393637" w:rsidRDefault="00393637" w:rsidP="00BB0999">
            <w:pPr>
              <w:spacing w:after="0" w:line="240" w:lineRule="auto"/>
              <w:rPr>
                <w:rFonts w:ascii="Calibri" w:eastAsia="Times New Roman" w:hAnsi="Calibri" w:cs="Calibri"/>
                <w:color w:val="000000"/>
                <w:sz w:val="17"/>
                <w:szCs w:val="17"/>
              </w:rPr>
            </w:pPr>
          </w:p>
          <w:p w:rsidR="00393637" w:rsidRDefault="00393637" w:rsidP="00BB0999">
            <w:pPr>
              <w:spacing w:after="0" w:line="240" w:lineRule="auto"/>
              <w:rPr>
                <w:rFonts w:ascii="Calibri" w:eastAsia="Times New Roman" w:hAnsi="Calibri" w:cs="Calibri"/>
                <w:color w:val="000000"/>
                <w:sz w:val="17"/>
                <w:szCs w:val="17"/>
              </w:rPr>
            </w:pPr>
          </w:p>
          <w:p w:rsidR="00393637" w:rsidRDefault="00393637" w:rsidP="00BB0999">
            <w:pPr>
              <w:spacing w:after="0" w:line="240" w:lineRule="auto"/>
              <w:rPr>
                <w:rFonts w:ascii="Calibri" w:eastAsia="Times New Roman" w:hAnsi="Calibri" w:cs="Calibri"/>
                <w:color w:val="000000"/>
                <w:sz w:val="17"/>
                <w:szCs w:val="17"/>
              </w:rPr>
            </w:pPr>
          </w:p>
          <w:p w:rsidR="00393637" w:rsidRPr="00BB0999" w:rsidRDefault="00393637" w:rsidP="00BB0999">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tcPr>
          <w:p w:rsidR="00393637" w:rsidRPr="00407A6C" w:rsidRDefault="00393637" w:rsidP="00BB099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To reduce the rate of</w:t>
            </w:r>
            <w:r>
              <w:rPr>
                <w:rFonts w:ascii="Calibri" w:eastAsia="Times New Roman" w:hAnsi="Calibri" w:cs="Calibri"/>
                <w:color w:val="000000"/>
                <w:sz w:val="17"/>
                <w:szCs w:val="17"/>
              </w:rPr>
              <w:t xml:space="preserve"> thrombotic cardiovascular event</w:t>
            </w:r>
            <w:r w:rsidRPr="00407A6C">
              <w:rPr>
                <w:rFonts w:ascii="Calibri" w:eastAsia="Times New Roman" w:hAnsi="Calibri" w:cs="Calibri"/>
                <w:color w:val="000000"/>
                <w:sz w:val="17"/>
                <w:szCs w:val="17"/>
              </w:rPr>
              <w:t>s in patients with ACS (unstable angina, non-ST e</w:t>
            </w:r>
            <w:r>
              <w:rPr>
                <w:rFonts w:ascii="Calibri" w:eastAsia="Times New Roman" w:hAnsi="Calibri" w:cs="Calibri"/>
                <w:color w:val="000000"/>
                <w:sz w:val="17"/>
                <w:szCs w:val="17"/>
              </w:rPr>
              <w:t>le</w:t>
            </w:r>
            <w:r w:rsidRPr="00407A6C">
              <w:rPr>
                <w:rFonts w:ascii="Calibri" w:eastAsia="Times New Roman" w:hAnsi="Calibri" w:cs="Calibri"/>
                <w:color w:val="000000"/>
                <w:sz w:val="17"/>
                <w:szCs w:val="17"/>
              </w:rPr>
              <w:t xml:space="preserve">vation myocardial infarction </w:t>
            </w:r>
            <w:r>
              <w:rPr>
                <w:rFonts w:ascii="Calibri" w:eastAsia="Times New Roman" w:hAnsi="Calibri" w:cs="Calibri"/>
                <w:color w:val="000000"/>
                <w:sz w:val="17"/>
                <w:szCs w:val="17"/>
              </w:rPr>
              <w:t>or ST-elevation myocardial infa</w:t>
            </w:r>
            <w:r w:rsidRPr="00407A6C">
              <w:rPr>
                <w:rFonts w:ascii="Calibri" w:eastAsia="Times New Roman" w:hAnsi="Calibri" w:cs="Calibri"/>
                <w:color w:val="000000"/>
                <w:sz w:val="17"/>
                <w:szCs w:val="17"/>
              </w:rPr>
              <w:t>rction)</w:t>
            </w:r>
          </w:p>
          <w:p w:rsidR="00393637" w:rsidRPr="00407A6C" w:rsidRDefault="00393637" w:rsidP="00BB099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In patients treated with PCI, it also reduces the rate of stent thrombosis</w:t>
            </w:r>
          </w:p>
        </w:tc>
        <w:tc>
          <w:tcPr>
            <w:tcW w:w="1890" w:type="dxa"/>
            <w:gridSpan w:val="3"/>
            <w:tcBorders>
              <w:top w:val="nil"/>
              <w:left w:val="nil"/>
              <w:bottom w:val="single" w:sz="4" w:space="0" w:color="auto"/>
              <w:right w:val="single" w:sz="4" w:space="0" w:color="auto"/>
            </w:tcBorders>
            <w:shd w:val="clear" w:color="auto" w:fill="auto"/>
            <w:noWrap/>
            <w:vAlign w:val="bottom"/>
          </w:tcPr>
          <w:p w:rsidR="00393637" w:rsidRPr="00407A6C" w:rsidRDefault="00393637" w:rsidP="00BB0999">
            <w:pPr>
              <w:pStyle w:val="ListParagraph"/>
              <w:numPr>
                <w:ilvl w:val="0"/>
                <w:numId w:val="7"/>
              </w:numPr>
              <w:spacing w:after="0" w:line="240" w:lineRule="auto"/>
              <w:ind w:left="360"/>
              <w:rPr>
                <w:rFonts w:ascii="Calibri" w:eastAsia="Times New Roman" w:hAnsi="Calibri" w:cs="Calibri"/>
                <w:color w:val="000000"/>
                <w:sz w:val="17"/>
                <w:szCs w:val="17"/>
              </w:rPr>
            </w:pPr>
            <w:r w:rsidRPr="00407A6C">
              <w:rPr>
                <w:rFonts w:ascii="Calibri" w:eastAsia="Times New Roman" w:hAnsi="Calibri" w:cs="Calibri"/>
                <w:color w:val="000000"/>
                <w:sz w:val="17"/>
                <w:szCs w:val="17"/>
              </w:rPr>
              <w:t xml:space="preserve">Assess clinically for signs of </w:t>
            </w:r>
            <w:proofErr w:type="spellStart"/>
            <w:r w:rsidRPr="00407A6C">
              <w:rPr>
                <w:rFonts w:ascii="Calibri" w:eastAsia="Times New Roman" w:hAnsi="Calibri" w:cs="Calibri"/>
                <w:color w:val="000000"/>
                <w:sz w:val="17"/>
                <w:szCs w:val="17"/>
              </w:rPr>
              <w:t>microvascular</w:t>
            </w:r>
            <w:proofErr w:type="spellEnd"/>
            <w:r w:rsidRPr="00407A6C">
              <w:rPr>
                <w:rFonts w:ascii="Calibri" w:eastAsia="Times New Roman" w:hAnsi="Calibri" w:cs="Calibri"/>
                <w:color w:val="000000"/>
                <w:sz w:val="17"/>
                <w:szCs w:val="17"/>
              </w:rPr>
              <w:t xml:space="preserve"> bleeding</w:t>
            </w:r>
          </w:p>
          <w:p w:rsidR="00393637" w:rsidRPr="00407A6C" w:rsidRDefault="00393637" w:rsidP="00BB0999">
            <w:pPr>
              <w:spacing w:after="0" w:line="240" w:lineRule="auto"/>
              <w:rPr>
                <w:rFonts w:ascii="Calibri" w:eastAsia="Times New Roman" w:hAnsi="Calibri" w:cs="Calibri"/>
                <w:color w:val="000000"/>
                <w:sz w:val="17"/>
                <w:szCs w:val="17"/>
              </w:rPr>
            </w:pPr>
          </w:p>
          <w:p w:rsidR="00393637" w:rsidRPr="00407A6C" w:rsidRDefault="00393637" w:rsidP="00BB0999">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C00000"/>
                <w:sz w:val="17"/>
                <w:szCs w:val="17"/>
              </w:rPr>
              <w:t>TEG – PLM ADP</w:t>
            </w:r>
          </w:p>
          <w:p w:rsidR="00393637" w:rsidRDefault="00393637" w:rsidP="00BB0999">
            <w:pPr>
              <w:spacing w:after="0" w:line="240" w:lineRule="auto"/>
              <w:rPr>
                <w:rFonts w:ascii="Calibri" w:eastAsia="Times New Roman" w:hAnsi="Calibri" w:cs="Calibri"/>
                <w:color w:val="000000"/>
                <w:sz w:val="17"/>
                <w:szCs w:val="17"/>
              </w:rPr>
            </w:pPr>
          </w:p>
          <w:p w:rsidR="00393637" w:rsidRDefault="00393637" w:rsidP="00BB0999">
            <w:pPr>
              <w:spacing w:after="0" w:line="240" w:lineRule="auto"/>
              <w:rPr>
                <w:rFonts w:ascii="Calibri" w:eastAsia="Times New Roman" w:hAnsi="Calibri" w:cs="Calibri"/>
                <w:color w:val="000000"/>
                <w:sz w:val="17"/>
                <w:szCs w:val="17"/>
              </w:rPr>
            </w:pPr>
          </w:p>
          <w:p w:rsidR="00393637" w:rsidRPr="00BB0999" w:rsidRDefault="00393637" w:rsidP="00BB0999">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tcPr>
          <w:p w:rsidR="00393637" w:rsidRPr="00407A6C" w:rsidRDefault="00393637" w:rsidP="00BB0999">
            <w:pPr>
              <w:spacing w:after="0" w:line="240" w:lineRule="auto"/>
              <w:rPr>
                <w:rFonts w:ascii="Calibri" w:eastAsia="Times New Roman" w:hAnsi="Calibri" w:cs="Calibri"/>
                <w:color w:val="000000"/>
                <w:sz w:val="17"/>
                <w:szCs w:val="17"/>
              </w:rPr>
            </w:pPr>
            <w:r w:rsidRPr="00407A6C">
              <w:rPr>
                <w:rFonts w:ascii="Calibri" w:eastAsia="Times New Roman" w:hAnsi="Calibri" w:cs="Calibri"/>
                <w:color w:val="000000"/>
                <w:sz w:val="17"/>
                <w:szCs w:val="17"/>
              </w:rPr>
              <w:t>(same as for Clopidogrel)</w:t>
            </w: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Default="00393637" w:rsidP="00C75FF4">
            <w:pPr>
              <w:spacing w:after="0" w:line="240" w:lineRule="auto"/>
              <w:rPr>
                <w:rFonts w:ascii="Calibri" w:eastAsia="Times New Roman" w:hAnsi="Calibri" w:cs="Calibri"/>
                <w:color w:val="000000"/>
                <w:sz w:val="17"/>
                <w:szCs w:val="17"/>
              </w:rPr>
            </w:pPr>
          </w:p>
          <w:p w:rsidR="00393637" w:rsidRPr="00407A6C" w:rsidRDefault="00393637" w:rsidP="00C75FF4">
            <w:pPr>
              <w:spacing w:after="0" w:line="240" w:lineRule="auto"/>
              <w:rPr>
                <w:rFonts w:ascii="Calibri" w:eastAsia="Times New Roman" w:hAnsi="Calibri" w:cs="Calibri"/>
                <w:color w:val="000000"/>
                <w:sz w:val="17"/>
                <w:szCs w:val="17"/>
              </w:rPr>
            </w:pPr>
          </w:p>
        </w:tc>
      </w:tr>
      <w:tr w:rsidR="00393637" w:rsidRPr="00C75FF4" w:rsidTr="00B74398">
        <w:trPr>
          <w:trHeight w:val="1430"/>
        </w:trPr>
        <w:tc>
          <w:tcPr>
            <w:tcW w:w="644" w:type="dxa"/>
            <w:vMerge/>
            <w:tcBorders>
              <w:top w:val="single" w:sz="4" w:space="0" w:color="auto"/>
              <w:left w:val="single" w:sz="4" w:space="0" w:color="auto"/>
              <w:bottom w:val="single" w:sz="4" w:space="0" w:color="auto"/>
            </w:tcBorders>
            <w:shd w:val="clear" w:color="auto" w:fill="EAF1DD" w:themeFill="accent3" w:themeFillTint="33"/>
            <w:vAlign w:val="center"/>
          </w:tcPr>
          <w:p w:rsidR="00393637" w:rsidRPr="00C75FF4" w:rsidRDefault="00393637" w:rsidP="00C75FF4">
            <w:pPr>
              <w:spacing w:after="0" w:line="240" w:lineRule="auto"/>
              <w:rPr>
                <w:rFonts w:ascii="Calibri" w:eastAsia="Times New Roman" w:hAnsi="Calibri" w:cs="Calibri"/>
                <w:color w:val="000000"/>
                <w:sz w:val="20"/>
                <w:szCs w:val="20"/>
              </w:rPr>
            </w:pPr>
          </w:p>
        </w:tc>
        <w:tc>
          <w:tcPr>
            <w:tcW w:w="271" w:type="dxa"/>
            <w:tcBorders>
              <w:top w:val="single" w:sz="4" w:space="0" w:color="auto"/>
              <w:bottom w:val="single" w:sz="4" w:space="0" w:color="auto"/>
            </w:tcBorders>
            <w:shd w:val="clear" w:color="auto" w:fill="auto"/>
            <w:noWrap/>
            <w:vAlign w:val="bottom"/>
          </w:tcPr>
          <w:p w:rsidR="00393637" w:rsidRPr="00666296" w:rsidRDefault="00393637" w:rsidP="00C75FF4">
            <w:pPr>
              <w:spacing w:after="0" w:line="240" w:lineRule="auto"/>
              <w:rPr>
                <w:rFonts w:ascii="Calibri" w:eastAsia="Times New Roman" w:hAnsi="Calibri" w:cs="Calibri"/>
                <w:color w:val="000000"/>
                <w:sz w:val="12"/>
                <w:szCs w:val="20"/>
              </w:rPr>
            </w:pPr>
          </w:p>
        </w:tc>
        <w:tc>
          <w:tcPr>
            <w:tcW w:w="4500" w:type="dxa"/>
            <w:gridSpan w:val="5"/>
            <w:tcBorders>
              <w:top w:val="single" w:sz="4" w:space="0" w:color="auto"/>
              <w:bottom w:val="single" w:sz="4" w:space="0" w:color="auto"/>
            </w:tcBorders>
            <w:shd w:val="clear" w:color="auto" w:fill="auto"/>
            <w:vAlign w:val="bottom"/>
          </w:tcPr>
          <w:p w:rsidR="00393637" w:rsidRPr="00431EE5" w:rsidRDefault="00393637" w:rsidP="00BB0999">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Notes:  </w:t>
            </w:r>
          </w:p>
          <w:p w:rsidR="00393637" w:rsidRPr="00431EE5" w:rsidRDefault="00393637" w:rsidP="0060267B">
            <w:pPr>
              <w:pStyle w:val="ListParagraph"/>
              <w:numPr>
                <w:ilvl w:val="0"/>
                <w:numId w:val="10"/>
              </w:num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Competitive effect of statins with </w:t>
            </w:r>
            <w:proofErr w:type="spellStart"/>
            <w:r w:rsidRPr="00431EE5">
              <w:rPr>
                <w:rFonts w:ascii="Calibri" w:eastAsia="Times New Roman" w:hAnsi="Calibri" w:cs="Calibri"/>
                <w:color w:val="000000"/>
                <w:sz w:val="17"/>
                <w:szCs w:val="17"/>
              </w:rPr>
              <w:t>prasugrel</w:t>
            </w:r>
            <w:proofErr w:type="spellEnd"/>
            <w:r w:rsidRPr="00431EE5">
              <w:rPr>
                <w:rFonts w:ascii="Calibri" w:eastAsia="Times New Roman" w:hAnsi="Calibri" w:cs="Calibri"/>
                <w:color w:val="000000"/>
                <w:sz w:val="17"/>
                <w:szCs w:val="17"/>
              </w:rPr>
              <w:t xml:space="preserve"> and clopidogrel (excluding </w:t>
            </w:r>
            <w:proofErr w:type="spellStart"/>
            <w:r w:rsidRPr="00431EE5">
              <w:rPr>
                <w:rFonts w:ascii="Calibri" w:eastAsia="Times New Roman" w:hAnsi="Calibri" w:cs="Calibri"/>
                <w:color w:val="000000"/>
                <w:sz w:val="17"/>
                <w:szCs w:val="17"/>
              </w:rPr>
              <w:t>crestor</w:t>
            </w:r>
            <w:proofErr w:type="spellEnd"/>
            <w:r w:rsidRPr="00431EE5">
              <w:rPr>
                <w:rFonts w:ascii="Calibri" w:eastAsia="Times New Roman" w:hAnsi="Calibri" w:cs="Calibri"/>
                <w:color w:val="000000"/>
                <w:sz w:val="17"/>
                <w:szCs w:val="17"/>
              </w:rPr>
              <w:t>)</w:t>
            </w:r>
          </w:p>
          <w:p w:rsidR="00393637" w:rsidRPr="00431EE5" w:rsidRDefault="00393637" w:rsidP="00BB0999">
            <w:pPr>
              <w:spacing w:after="0" w:line="240" w:lineRule="auto"/>
              <w:rPr>
                <w:rFonts w:ascii="Calibri" w:eastAsia="Times New Roman" w:hAnsi="Calibri" w:cs="Calibri"/>
                <w:color w:val="000000"/>
                <w:sz w:val="12"/>
                <w:szCs w:val="17"/>
              </w:rPr>
            </w:pPr>
          </w:p>
          <w:p w:rsidR="00393637" w:rsidRPr="00431EE5" w:rsidRDefault="00393637" w:rsidP="00BB0999">
            <w:pPr>
              <w:spacing w:after="0" w:line="240" w:lineRule="auto"/>
              <w:rPr>
                <w:rFonts w:ascii="Calibri" w:eastAsia="Times New Roman" w:hAnsi="Calibri" w:cs="Calibri"/>
                <w:color w:val="000000"/>
                <w:sz w:val="12"/>
                <w:szCs w:val="17"/>
              </w:rPr>
            </w:pPr>
          </w:p>
          <w:p w:rsidR="00393637" w:rsidRPr="00431EE5" w:rsidRDefault="00393637" w:rsidP="00BB0999">
            <w:pPr>
              <w:spacing w:after="0" w:line="240" w:lineRule="auto"/>
              <w:rPr>
                <w:rFonts w:ascii="Calibri" w:eastAsia="Times New Roman" w:hAnsi="Calibri" w:cs="Calibri"/>
                <w:color w:val="000000"/>
                <w:sz w:val="12"/>
                <w:szCs w:val="17"/>
              </w:rPr>
            </w:pPr>
          </w:p>
          <w:p w:rsidR="00393637" w:rsidRPr="00431EE5" w:rsidRDefault="00393637" w:rsidP="00BB0999">
            <w:pPr>
              <w:spacing w:after="0" w:line="240" w:lineRule="auto"/>
              <w:rPr>
                <w:rFonts w:ascii="Calibri" w:eastAsia="Times New Roman" w:hAnsi="Calibri" w:cs="Calibri"/>
                <w:color w:val="000000"/>
                <w:sz w:val="12"/>
                <w:szCs w:val="17"/>
              </w:rPr>
            </w:pPr>
          </w:p>
        </w:tc>
        <w:tc>
          <w:tcPr>
            <w:tcW w:w="1890" w:type="dxa"/>
            <w:gridSpan w:val="6"/>
            <w:tcBorders>
              <w:top w:val="single" w:sz="4" w:space="0" w:color="auto"/>
              <w:bottom w:val="single" w:sz="4" w:space="0" w:color="auto"/>
            </w:tcBorders>
            <w:shd w:val="clear" w:color="auto" w:fill="auto"/>
            <w:vAlign w:val="bottom"/>
          </w:tcPr>
          <w:p w:rsidR="00393637" w:rsidRPr="00407A6C" w:rsidRDefault="00393637" w:rsidP="00BB0999">
            <w:pPr>
              <w:spacing w:after="0" w:line="240" w:lineRule="auto"/>
              <w:rPr>
                <w:rFonts w:ascii="Calibri" w:eastAsia="Times New Roman" w:hAnsi="Calibri" w:cs="Calibri"/>
                <w:color w:val="000000"/>
                <w:sz w:val="17"/>
                <w:szCs w:val="17"/>
              </w:rPr>
            </w:pPr>
          </w:p>
        </w:tc>
        <w:tc>
          <w:tcPr>
            <w:tcW w:w="900" w:type="dxa"/>
            <w:gridSpan w:val="3"/>
            <w:tcBorders>
              <w:top w:val="single" w:sz="4" w:space="0" w:color="auto"/>
              <w:bottom w:val="single" w:sz="4" w:space="0" w:color="auto"/>
            </w:tcBorders>
            <w:shd w:val="clear" w:color="auto" w:fill="auto"/>
            <w:noWrap/>
            <w:vAlign w:val="bottom"/>
          </w:tcPr>
          <w:p w:rsidR="00393637" w:rsidRPr="00407A6C" w:rsidRDefault="00393637" w:rsidP="00BB0999">
            <w:pPr>
              <w:spacing w:after="0" w:line="240" w:lineRule="auto"/>
              <w:rPr>
                <w:rFonts w:ascii="Calibri" w:eastAsia="Times New Roman" w:hAnsi="Calibri" w:cs="Calibri"/>
                <w:color w:val="000000"/>
                <w:sz w:val="17"/>
                <w:szCs w:val="17"/>
              </w:rPr>
            </w:pPr>
          </w:p>
        </w:tc>
        <w:tc>
          <w:tcPr>
            <w:tcW w:w="1710" w:type="dxa"/>
            <w:tcBorders>
              <w:top w:val="single" w:sz="4" w:space="0" w:color="auto"/>
              <w:bottom w:val="single" w:sz="4" w:space="0" w:color="auto"/>
            </w:tcBorders>
            <w:shd w:val="clear" w:color="auto" w:fill="auto"/>
            <w:noWrap/>
            <w:vAlign w:val="bottom"/>
          </w:tcPr>
          <w:p w:rsidR="00393637" w:rsidRPr="00BB0999" w:rsidRDefault="00393637" w:rsidP="00BB0999">
            <w:pPr>
              <w:spacing w:after="0" w:line="240" w:lineRule="auto"/>
              <w:rPr>
                <w:rFonts w:ascii="Calibri" w:eastAsia="Times New Roman" w:hAnsi="Calibri" w:cs="Calibri"/>
                <w:color w:val="000000"/>
                <w:sz w:val="17"/>
                <w:szCs w:val="17"/>
              </w:rPr>
            </w:pPr>
          </w:p>
        </w:tc>
        <w:tc>
          <w:tcPr>
            <w:tcW w:w="1530" w:type="dxa"/>
            <w:gridSpan w:val="2"/>
            <w:tcBorders>
              <w:top w:val="single" w:sz="4" w:space="0" w:color="auto"/>
              <w:bottom w:val="single" w:sz="4" w:space="0" w:color="auto"/>
            </w:tcBorders>
            <w:shd w:val="clear" w:color="auto" w:fill="auto"/>
            <w:noWrap/>
            <w:vAlign w:val="bottom"/>
          </w:tcPr>
          <w:p w:rsidR="00393637" w:rsidRPr="00BB0999" w:rsidRDefault="00393637" w:rsidP="00BB0999">
            <w:pPr>
              <w:spacing w:after="0" w:line="240" w:lineRule="auto"/>
              <w:rPr>
                <w:rFonts w:ascii="Calibri" w:eastAsia="Times New Roman" w:hAnsi="Calibri" w:cs="Calibri"/>
                <w:color w:val="000000"/>
                <w:sz w:val="17"/>
                <w:szCs w:val="17"/>
              </w:rPr>
            </w:pPr>
          </w:p>
        </w:tc>
        <w:tc>
          <w:tcPr>
            <w:tcW w:w="810" w:type="dxa"/>
            <w:gridSpan w:val="2"/>
            <w:tcBorders>
              <w:top w:val="single" w:sz="4" w:space="0" w:color="auto"/>
              <w:bottom w:val="single" w:sz="4" w:space="0" w:color="auto"/>
            </w:tcBorders>
            <w:shd w:val="clear" w:color="auto" w:fill="auto"/>
            <w:noWrap/>
            <w:vAlign w:val="bottom"/>
          </w:tcPr>
          <w:p w:rsidR="00393637" w:rsidRPr="00BB0999" w:rsidRDefault="00393637" w:rsidP="00BB0999">
            <w:pPr>
              <w:spacing w:after="0" w:line="240" w:lineRule="auto"/>
              <w:rPr>
                <w:rFonts w:ascii="Calibri" w:eastAsia="Times New Roman" w:hAnsi="Calibri" w:cs="Calibri"/>
                <w:color w:val="000000"/>
                <w:sz w:val="17"/>
                <w:szCs w:val="17"/>
              </w:rPr>
            </w:pPr>
          </w:p>
        </w:tc>
        <w:tc>
          <w:tcPr>
            <w:tcW w:w="2880" w:type="dxa"/>
            <w:tcBorders>
              <w:top w:val="single" w:sz="4" w:space="0" w:color="auto"/>
              <w:bottom w:val="single" w:sz="4" w:space="0" w:color="auto"/>
              <w:right w:val="single" w:sz="4" w:space="0" w:color="auto"/>
            </w:tcBorders>
            <w:shd w:val="clear" w:color="auto" w:fill="auto"/>
            <w:noWrap/>
            <w:vAlign w:val="bottom"/>
          </w:tcPr>
          <w:p w:rsidR="00393637" w:rsidRPr="00407A6C" w:rsidRDefault="00393637" w:rsidP="00BB0999">
            <w:pPr>
              <w:spacing w:after="0" w:line="240" w:lineRule="auto"/>
              <w:rPr>
                <w:rFonts w:ascii="Calibri" w:eastAsia="Times New Roman" w:hAnsi="Calibri" w:cs="Calibri"/>
                <w:color w:val="000000"/>
                <w:sz w:val="17"/>
                <w:szCs w:val="17"/>
              </w:rPr>
            </w:pPr>
          </w:p>
        </w:tc>
      </w:tr>
      <w:tr w:rsidR="00393637" w:rsidRPr="00C75FF4" w:rsidTr="00B74398">
        <w:trPr>
          <w:trHeight w:val="800"/>
        </w:trPr>
        <w:tc>
          <w:tcPr>
            <w:tcW w:w="644" w:type="dxa"/>
            <w:vMerge/>
            <w:tcBorders>
              <w:top w:val="single" w:sz="4" w:space="0" w:color="auto"/>
              <w:left w:val="single" w:sz="4" w:space="0" w:color="auto"/>
              <w:bottom w:val="single" w:sz="4" w:space="0" w:color="auto"/>
              <w:right w:val="nil"/>
            </w:tcBorders>
            <w:shd w:val="clear" w:color="auto" w:fill="EAF1DD" w:themeFill="accent3" w:themeFillTint="33"/>
            <w:vAlign w:val="center"/>
          </w:tcPr>
          <w:p w:rsidR="00393637" w:rsidRPr="00C75FF4" w:rsidRDefault="00393637" w:rsidP="00C75FF4">
            <w:pPr>
              <w:spacing w:after="0" w:line="240" w:lineRule="auto"/>
              <w:rPr>
                <w:rFonts w:ascii="Calibri" w:eastAsia="Times New Roman" w:hAnsi="Calibri" w:cs="Calibri"/>
                <w:color w:val="000000"/>
                <w:sz w:val="20"/>
                <w:szCs w:val="20"/>
              </w:rPr>
            </w:pPr>
          </w:p>
        </w:tc>
        <w:tc>
          <w:tcPr>
            <w:tcW w:w="271" w:type="dxa"/>
            <w:tcBorders>
              <w:top w:val="single" w:sz="4" w:space="0" w:color="auto"/>
              <w:left w:val="nil"/>
              <w:right w:val="single" w:sz="4" w:space="0" w:color="auto"/>
            </w:tcBorders>
            <w:shd w:val="clear" w:color="auto" w:fill="EAF1DD" w:themeFill="accent3" w:themeFillTint="33"/>
            <w:noWrap/>
            <w:vAlign w:val="bottom"/>
          </w:tcPr>
          <w:p w:rsidR="00393637" w:rsidRPr="00C75FF4" w:rsidRDefault="00393637" w:rsidP="00C75FF4">
            <w:pPr>
              <w:spacing w:after="0" w:line="240" w:lineRule="auto"/>
              <w:rPr>
                <w:rFonts w:ascii="Calibri" w:eastAsia="Times New Roman" w:hAnsi="Calibri" w:cs="Calibri"/>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Agent</w:t>
            </w:r>
          </w:p>
        </w:tc>
        <w:tc>
          <w:tcPr>
            <w:tcW w:w="1980" w:type="dxa"/>
            <w:gridSpan w:val="3"/>
            <w:tcBorders>
              <w:top w:val="single" w:sz="4" w:space="0" w:color="auto"/>
              <w:left w:val="nil"/>
              <w:bottom w:val="single" w:sz="4" w:space="0" w:color="auto"/>
              <w:right w:val="single" w:sz="4" w:space="0" w:color="auto"/>
            </w:tcBorders>
            <w:shd w:val="clear" w:color="auto" w:fill="D6E3BC" w:themeFill="accent3" w:themeFillTint="66"/>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Clearance</w:t>
            </w:r>
          </w:p>
        </w:tc>
        <w:tc>
          <w:tcPr>
            <w:tcW w:w="1800" w:type="dxa"/>
            <w:gridSpan w:val="5"/>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Usual Half Life (t</w:t>
            </w:r>
            <w:r w:rsidRPr="00A95721">
              <w:rPr>
                <w:rFonts w:ascii="Calibri" w:eastAsia="Times New Roman" w:hAnsi="Calibri" w:cs="Calibri"/>
                <w:b/>
                <w:bCs/>
                <w:color w:val="000000"/>
                <w:sz w:val="20"/>
                <w:szCs w:val="20"/>
                <w:vertAlign w:val="subscript"/>
              </w:rPr>
              <w:t>1/2</w:t>
            </w:r>
            <w:r w:rsidRPr="00A95721">
              <w:rPr>
                <w:rFonts w:ascii="Calibri" w:eastAsia="Times New Roman" w:hAnsi="Calibri" w:cs="Calibri"/>
                <w:b/>
                <w:bCs/>
                <w:color w:val="000000"/>
                <w:sz w:val="20"/>
                <w:szCs w:val="20"/>
              </w:rPr>
              <w:t>) &amp; Duration of Effect</w:t>
            </w:r>
          </w:p>
        </w:tc>
        <w:tc>
          <w:tcPr>
            <w:tcW w:w="2970" w:type="dxa"/>
            <w:gridSpan w:val="4"/>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Most Common Indications</w:t>
            </w:r>
          </w:p>
        </w:tc>
        <w:tc>
          <w:tcPr>
            <w:tcW w:w="1890"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Monitoring Methods</w:t>
            </w:r>
          </w:p>
        </w:tc>
        <w:tc>
          <w:tcPr>
            <w:tcW w:w="2880"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93637" w:rsidRPr="00A95721" w:rsidRDefault="00393637" w:rsidP="00480F9E">
            <w:pPr>
              <w:spacing w:after="0" w:line="240" w:lineRule="auto"/>
              <w:jc w:val="center"/>
              <w:rPr>
                <w:rFonts w:ascii="Calibri" w:eastAsia="Times New Roman" w:hAnsi="Calibri" w:cs="Calibri"/>
                <w:b/>
                <w:bCs/>
                <w:color w:val="000000"/>
                <w:sz w:val="20"/>
                <w:szCs w:val="20"/>
              </w:rPr>
            </w:pPr>
            <w:r w:rsidRPr="00A95721">
              <w:rPr>
                <w:rFonts w:ascii="Calibri" w:eastAsia="Times New Roman" w:hAnsi="Calibri" w:cs="Calibri"/>
                <w:b/>
                <w:bCs/>
                <w:color w:val="000000"/>
                <w:sz w:val="20"/>
                <w:szCs w:val="20"/>
              </w:rPr>
              <w:t>Strategies for Rapid Reversal and/or Hemostatic Correction</w:t>
            </w:r>
          </w:p>
        </w:tc>
      </w:tr>
      <w:tr w:rsidR="00666296" w:rsidRPr="00C75FF4" w:rsidTr="00B74398">
        <w:trPr>
          <w:trHeight w:val="2016"/>
        </w:trPr>
        <w:tc>
          <w:tcPr>
            <w:tcW w:w="644" w:type="dxa"/>
            <w:vMerge/>
            <w:tcBorders>
              <w:top w:val="single" w:sz="4" w:space="0" w:color="auto"/>
              <w:left w:val="single" w:sz="4" w:space="0" w:color="auto"/>
              <w:bottom w:val="single" w:sz="4" w:space="0" w:color="auto"/>
              <w:right w:val="nil"/>
            </w:tcBorders>
            <w:shd w:val="clear" w:color="auto" w:fill="EAF1DD" w:themeFill="accent3" w:themeFillTint="33"/>
            <w:vAlign w:val="center"/>
            <w:hideMark/>
          </w:tcPr>
          <w:p w:rsidR="00666296" w:rsidRPr="00C75FF4" w:rsidRDefault="00666296" w:rsidP="00C75FF4">
            <w:pPr>
              <w:spacing w:after="0" w:line="240" w:lineRule="auto"/>
              <w:rPr>
                <w:rFonts w:ascii="Calibri" w:eastAsia="Times New Roman" w:hAnsi="Calibri" w:cs="Calibri"/>
                <w:color w:val="000000"/>
                <w:sz w:val="20"/>
                <w:szCs w:val="20"/>
              </w:rPr>
            </w:pPr>
          </w:p>
        </w:tc>
        <w:tc>
          <w:tcPr>
            <w:tcW w:w="271" w:type="dxa"/>
            <w:tcBorders>
              <w:top w:val="nil"/>
              <w:left w:val="nil"/>
              <w:bottom w:val="single" w:sz="4" w:space="0" w:color="auto"/>
              <w:right w:val="single" w:sz="4" w:space="0" w:color="auto"/>
            </w:tcBorders>
            <w:shd w:val="clear" w:color="auto" w:fill="EAF1DD" w:themeFill="accent3" w:themeFillTint="33"/>
            <w:noWrap/>
            <w:textDirection w:val="btLr"/>
            <w:vAlign w:val="center"/>
            <w:hideMark/>
          </w:tcPr>
          <w:p w:rsidR="00666296" w:rsidRPr="00431EE5" w:rsidRDefault="00666296" w:rsidP="00666296">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ADP inhibitor- PO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66296" w:rsidRPr="00431EE5" w:rsidRDefault="00666296"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Ticlopidine (Ticlid)</w:t>
            </w: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vAlign w:val="bottom"/>
            <w:hideMark/>
          </w:tcPr>
          <w:p w:rsidR="00666296" w:rsidRPr="00431EE5" w:rsidRDefault="00666296"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Binds to ADP P2Y12 receptors on platelets, preventing ADP from binding to &amp; activating GP IIb/IIIa receptors</w:t>
            </w: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66296" w:rsidRPr="00431EE5" w:rsidRDefault="00666296"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Hepatic</w:t>
            </w: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66296" w:rsidRPr="00431EE5" w:rsidRDefault="00666296"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t</w:t>
            </w:r>
            <w:r w:rsidRPr="00431EE5">
              <w:rPr>
                <w:rFonts w:ascii="Calibri" w:eastAsia="Times New Roman" w:hAnsi="Calibri" w:cs="Calibri"/>
                <w:color w:val="000000"/>
                <w:sz w:val="17"/>
                <w:szCs w:val="17"/>
                <w:vertAlign w:val="subscript"/>
              </w:rPr>
              <w:t>½</w:t>
            </w:r>
            <w:r w:rsidRPr="00431EE5">
              <w:rPr>
                <w:rFonts w:ascii="Calibri" w:eastAsia="Times New Roman" w:hAnsi="Calibri" w:cs="Calibri"/>
                <w:color w:val="000000"/>
                <w:sz w:val="17"/>
                <w:szCs w:val="17"/>
              </w:rPr>
              <w:t>: approx. 4 hours after repeated doses</w:t>
            </w:r>
          </w:p>
          <w:p w:rsidR="00666296" w:rsidRPr="00431EE5" w:rsidRDefault="00666296"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Duration: 4 to 10 days</w:t>
            </w: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66296" w:rsidRPr="00431EE5" w:rsidRDefault="00666296"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To reduce risk of thrombotic stroke in patients who have experienced stroke precursors and in patients who have had a completed thrombotic stroke</w:t>
            </w:r>
          </w:p>
          <w:p w:rsidR="00666296" w:rsidRPr="00431EE5" w:rsidRDefault="00666296"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As adjunctive therapy with aspirin to reduce incidence of </w:t>
            </w:r>
            <w:proofErr w:type="spellStart"/>
            <w:r w:rsidRPr="00431EE5">
              <w:rPr>
                <w:rFonts w:ascii="Calibri" w:eastAsia="Times New Roman" w:hAnsi="Calibri" w:cs="Calibri"/>
                <w:color w:val="000000"/>
                <w:sz w:val="17"/>
                <w:szCs w:val="17"/>
              </w:rPr>
              <w:t>subacute</w:t>
            </w:r>
            <w:proofErr w:type="spellEnd"/>
            <w:r w:rsidRPr="00431EE5">
              <w:rPr>
                <w:rFonts w:ascii="Calibri" w:eastAsia="Times New Roman" w:hAnsi="Calibri" w:cs="Calibri"/>
                <w:color w:val="000000"/>
                <w:sz w:val="17"/>
                <w:szCs w:val="17"/>
              </w:rPr>
              <w:t xml:space="preserve"> stent thrombosis in patients undergoing successful coronary stent implantation</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rsidR="00666296" w:rsidRPr="00431EE5" w:rsidRDefault="00666296" w:rsidP="008B18D3">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Assess clinically for signs of </w:t>
            </w:r>
            <w:proofErr w:type="spellStart"/>
            <w:r w:rsidRPr="00431EE5">
              <w:rPr>
                <w:rFonts w:ascii="Calibri" w:eastAsia="Times New Roman" w:hAnsi="Calibri" w:cs="Calibri"/>
                <w:color w:val="000000"/>
                <w:sz w:val="17"/>
                <w:szCs w:val="17"/>
              </w:rPr>
              <w:t>microvascular</w:t>
            </w:r>
            <w:proofErr w:type="spellEnd"/>
            <w:r w:rsidRPr="00431EE5">
              <w:rPr>
                <w:rFonts w:ascii="Calibri" w:eastAsia="Times New Roman" w:hAnsi="Calibri" w:cs="Calibri"/>
                <w:color w:val="000000"/>
                <w:sz w:val="17"/>
                <w:szCs w:val="17"/>
              </w:rPr>
              <w:t xml:space="preserve"> bleeding</w:t>
            </w:r>
          </w:p>
          <w:p w:rsidR="00666296" w:rsidRPr="00431EE5" w:rsidRDefault="00666296" w:rsidP="005276BA">
            <w:pPr>
              <w:spacing w:after="0" w:line="240" w:lineRule="auto"/>
              <w:rPr>
                <w:rFonts w:ascii="Calibri" w:eastAsia="Times New Roman" w:hAnsi="Calibri" w:cs="Calibri"/>
                <w:color w:val="000000"/>
                <w:sz w:val="17"/>
                <w:szCs w:val="17"/>
              </w:rPr>
            </w:pPr>
          </w:p>
          <w:p w:rsidR="00666296" w:rsidRPr="00431EE5" w:rsidRDefault="00666296" w:rsidP="005276BA">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C00000"/>
                <w:sz w:val="17"/>
                <w:szCs w:val="17"/>
              </w:rPr>
              <w:t>TEG – PLM ADP</w:t>
            </w:r>
          </w:p>
          <w:p w:rsidR="00666296" w:rsidRPr="00431EE5" w:rsidRDefault="00666296" w:rsidP="005276BA">
            <w:pPr>
              <w:spacing w:after="0" w:line="240" w:lineRule="auto"/>
              <w:rPr>
                <w:rFonts w:ascii="Calibri" w:eastAsia="Times New Roman" w:hAnsi="Calibri" w:cs="Calibri"/>
                <w:color w:val="000000"/>
                <w:sz w:val="17"/>
                <w:szCs w:val="17"/>
              </w:rPr>
            </w:pPr>
          </w:p>
          <w:p w:rsidR="00666296" w:rsidRPr="00431EE5" w:rsidRDefault="00666296" w:rsidP="005276BA">
            <w:pPr>
              <w:spacing w:after="0" w:line="240" w:lineRule="auto"/>
              <w:rPr>
                <w:rFonts w:ascii="Calibri" w:eastAsia="Times New Roman" w:hAnsi="Calibri" w:cs="Calibri"/>
                <w:color w:val="000000"/>
                <w:sz w:val="17"/>
                <w:szCs w:val="17"/>
              </w:rPr>
            </w:pPr>
          </w:p>
          <w:p w:rsidR="00666296" w:rsidRPr="00431EE5" w:rsidRDefault="00666296" w:rsidP="005276BA">
            <w:pPr>
              <w:spacing w:after="0" w:line="240" w:lineRule="auto"/>
              <w:rPr>
                <w:rFonts w:ascii="Calibri" w:eastAsia="Times New Roman" w:hAnsi="Calibri" w:cs="Calibri"/>
                <w:color w:val="000000"/>
                <w:sz w:val="17"/>
                <w:szCs w:val="17"/>
              </w:rPr>
            </w:pPr>
          </w:p>
          <w:p w:rsidR="00666296" w:rsidRPr="00431EE5" w:rsidRDefault="00666296" w:rsidP="005276BA">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6296" w:rsidRPr="00431EE5" w:rsidRDefault="00666296"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(same as for Clopidogrel)</w:t>
            </w: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p w:rsidR="00666296" w:rsidRPr="00431EE5" w:rsidRDefault="00666296" w:rsidP="00C75FF4">
            <w:pPr>
              <w:spacing w:after="0" w:line="240" w:lineRule="auto"/>
              <w:rPr>
                <w:rFonts w:ascii="Calibri" w:eastAsia="Times New Roman" w:hAnsi="Calibri" w:cs="Calibri"/>
                <w:color w:val="000000"/>
                <w:sz w:val="17"/>
                <w:szCs w:val="17"/>
              </w:rPr>
            </w:pPr>
          </w:p>
        </w:tc>
      </w:tr>
      <w:tr w:rsidR="00666296" w:rsidRPr="00C75FF4" w:rsidTr="00B74398">
        <w:trPr>
          <w:trHeight w:val="4184"/>
        </w:trPr>
        <w:tc>
          <w:tcPr>
            <w:tcW w:w="644" w:type="dxa"/>
            <w:tcBorders>
              <w:top w:val="single" w:sz="4" w:space="0" w:color="auto"/>
              <w:left w:val="single" w:sz="4" w:space="0" w:color="auto"/>
              <w:right w:val="nil"/>
            </w:tcBorders>
            <w:shd w:val="clear" w:color="auto" w:fill="EAF1DD" w:themeFill="accent3" w:themeFillTint="33"/>
            <w:vAlign w:val="center"/>
          </w:tcPr>
          <w:p w:rsidR="00666296" w:rsidRPr="00C75FF4" w:rsidRDefault="00666296" w:rsidP="00C75FF4">
            <w:pPr>
              <w:spacing w:after="0" w:line="240" w:lineRule="auto"/>
              <w:rPr>
                <w:rFonts w:ascii="Calibri" w:eastAsia="Times New Roman" w:hAnsi="Calibri" w:cs="Calibri"/>
                <w:color w:val="000000"/>
                <w:sz w:val="20"/>
                <w:szCs w:val="20"/>
              </w:rPr>
            </w:pPr>
          </w:p>
        </w:tc>
        <w:tc>
          <w:tcPr>
            <w:tcW w:w="271" w:type="dxa"/>
            <w:tcBorders>
              <w:top w:val="single" w:sz="4" w:space="0" w:color="auto"/>
              <w:left w:val="nil"/>
              <w:right w:val="single" w:sz="4" w:space="0" w:color="auto"/>
            </w:tcBorders>
            <w:shd w:val="clear" w:color="auto" w:fill="EAF1DD" w:themeFill="accent3" w:themeFillTint="33"/>
            <w:noWrap/>
            <w:vAlign w:val="bottom"/>
          </w:tcPr>
          <w:p w:rsidR="00666296" w:rsidRPr="00431EE5" w:rsidRDefault="00666296" w:rsidP="00C75FF4">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66296" w:rsidRPr="00431EE5" w:rsidRDefault="00666296" w:rsidP="00C75FF4">
            <w:pPr>
              <w:spacing w:after="0" w:line="240" w:lineRule="auto"/>
              <w:rPr>
                <w:rFonts w:ascii="Calibri" w:eastAsia="Times New Roman" w:hAnsi="Calibri" w:cs="Calibri"/>
                <w:color w:val="000000"/>
                <w:sz w:val="17"/>
                <w:szCs w:val="17"/>
              </w:rPr>
            </w:pPr>
            <w:proofErr w:type="spellStart"/>
            <w:r w:rsidRPr="00431EE5">
              <w:rPr>
                <w:rFonts w:ascii="Calibri" w:eastAsia="Times New Roman" w:hAnsi="Calibri" w:cs="Calibri"/>
                <w:color w:val="000000"/>
                <w:sz w:val="17"/>
                <w:szCs w:val="17"/>
              </w:rPr>
              <w:t>Dipyridamole</w:t>
            </w:r>
            <w:proofErr w:type="spellEnd"/>
            <w:r w:rsidRPr="00431EE5">
              <w:rPr>
                <w:rFonts w:ascii="Calibri" w:eastAsia="Times New Roman" w:hAnsi="Calibri" w:cs="Calibri"/>
                <w:color w:val="000000"/>
                <w:sz w:val="17"/>
                <w:szCs w:val="17"/>
              </w:rPr>
              <w:t xml:space="preserve"> (Persantine)</w:t>
            </w: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vAlign w:val="bottom"/>
          </w:tcPr>
          <w:p w:rsidR="00666296" w:rsidRPr="00431EE5" w:rsidRDefault="0058247C" w:rsidP="00F7427E">
            <w:pPr>
              <w:spacing w:before="100" w:beforeAutospacing="1" w:after="100" w:afterAutospacing="1" w:line="240" w:lineRule="auto"/>
              <w:rPr>
                <w:rFonts w:eastAsia="Times New Roman" w:cstheme="minorHAnsi"/>
                <w:sz w:val="17"/>
                <w:szCs w:val="17"/>
                <w:lang w:val="en"/>
              </w:rPr>
            </w:pPr>
            <w:proofErr w:type="spellStart"/>
            <w:r w:rsidRPr="00431EE5">
              <w:rPr>
                <w:rFonts w:eastAsia="Times New Roman" w:cstheme="minorHAnsi"/>
                <w:sz w:val="17"/>
                <w:szCs w:val="17"/>
                <w:lang w:val="en"/>
              </w:rPr>
              <w:t>Dipyridamole</w:t>
            </w:r>
            <w:proofErr w:type="spellEnd"/>
            <w:r w:rsidRPr="00431EE5">
              <w:rPr>
                <w:rFonts w:eastAsia="Times New Roman" w:cstheme="minorHAnsi"/>
                <w:sz w:val="17"/>
                <w:szCs w:val="17"/>
                <w:lang w:val="en"/>
              </w:rPr>
              <w:t xml:space="preserve"> inhibits the </w:t>
            </w:r>
            <w:hyperlink r:id="rId10" w:tooltip="Phosphodiesterase" w:history="1">
              <w:proofErr w:type="spellStart"/>
              <w:r w:rsidRPr="00431EE5">
                <w:rPr>
                  <w:rFonts w:eastAsia="Times New Roman" w:cstheme="minorHAnsi"/>
                  <w:sz w:val="17"/>
                  <w:szCs w:val="17"/>
                  <w:lang w:val="en"/>
                </w:rPr>
                <w:t>phosphodiesterase</w:t>
              </w:r>
              <w:proofErr w:type="spellEnd"/>
            </w:hyperlink>
            <w:r w:rsidRPr="00431EE5">
              <w:rPr>
                <w:rFonts w:eastAsia="Times New Roman" w:cstheme="minorHAnsi"/>
                <w:sz w:val="17"/>
                <w:szCs w:val="17"/>
                <w:lang w:val="en"/>
              </w:rPr>
              <w:t xml:space="preserve"> enzymes that normally break down </w:t>
            </w:r>
            <w:hyperlink r:id="rId11" w:tooltip="Cyclic adenosine monophosphate" w:history="1">
              <w:r w:rsidRPr="00431EE5">
                <w:rPr>
                  <w:rFonts w:eastAsia="Times New Roman" w:cstheme="minorHAnsi"/>
                  <w:sz w:val="17"/>
                  <w:szCs w:val="17"/>
                  <w:lang w:val="en"/>
                </w:rPr>
                <w:t>cAMP</w:t>
              </w:r>
            </w:hyperlink>
            <w:r w:rsidRPr="00431EE5">
              <w:rPr>
                <w:rFonts w:eastAsia="Times New Roman" w:cstheme="minorHAnsi"/>
                <w:sz w:val="17"/>
                <w:szCs w:val="17"/>
                <w:lang w:val="en"/>
              </w:rPr>
              <w:t xml:space="preserve"> (increasing cellular cAMP levels and blocking the platelet response to </w:t>
            </w:r>
            <w:hyperlink r:id="rId12" w:tooltip="Adenosine diphosphate" w:history="1">
              <w:r w:rsidRPr="00431EE5">
                <w:rPr>
                  <w:rFonts w:eastAsia="Times New Roman" w:cstheme="minorHAnsi"/>
                  <w:sz w:val="17"/>
                  <w:szCs w:val="17"/>
                  <w:lang w:val="en"/>
                </w:rPr>
                <w:t>ADP</w:t>
              </w:r>
            </w:hyperlink>
            <w:r w:rsidRPr="00431EE5">
              <w:rPr>
                <w:rFonts w:eastAsia="Times New Roman" w:cstheme="minorHAnsi"/>
                <w:sz w:val="17"/>
                <w:szCs w:val="17"/>
                <w:lang w:val="en"/>
              </w:rPr>
              <w:t xml:space="preserve">) and/or </w:t>
            </w:r>
            <w:hyperlink r:id="rId13" w:tooltip="Cyclic guanosine monophosphate" w:history="1">
              <w:r w:rsidRPr="00431EE5">
                <w:rPr>
                  <w:rFonts w:eastAsia="Times New Roman" w:cstheme="minorHAnsi"/>
                  <w:sz w:val="17"/>
                  <w:szCs w:val="17"/>
                  <w:lang w:val="en"/>
                </w:rPr>
                <w:t>cGMP</w:t>
              </w:r>
            </w:hyperlink>
            <w:r w:rsidRPr="00431EE5">
              <w:rPr>
                <w:rFonts w:eastAsia="Times New Roman" w:cstheme="minorHAnsi"/>
                <w:sz w:val="17"/>
                <w:szCs w:val="17"/>
                <w:lang w:val="en"/>
              </w:rPr>
              <w:t xml:space="preserve"> (resulting in added benefit when given together with </w:t>
            </w:r>
            <w:hyperlink r:id="rId14" w:tooltip="Nitric oxide" w:history="1">
              <w:r w:rsidRPr="00431EE5">
                <w:rPr>
                  <w:rFonts w:eastAsia="Times New Roman" w:cstheme="minorHAnsi"/>
                  <w:sz w:val="17"/>
                  <w:szCs w:val="17"/>
                  <w:lang w:val="en"/>
                </w:rPr>
                <w:t>nitric oxide</w:t>
              </w:r>
            </w:hyperlink>
            <w:r w:rsidRPr="00431EE5">
              <w:rPr>
                <w:rFonts w:eastAsia="Times New Roman" w:cstheme="minorHAnsi"/>
                <w:sz w:val="17"/>
                <w:szCs w:val="17"/>
                <w:lang w:val="en"/>
              </w:rPr>
              <w:t xml:space="preserve"> [NO] or </w:t>
            </w:r>
            <w:hyperlink r:id="rId15" w:tooltip="Statin" w:history="1">
              <w:r w:rsidRPr="00431EE5">
                <w:rPr>
                  <w:rFonts w:eastAsia="Times New Roman" w:cstheme="minorHAnsi"/>
                  <w:sz w:val="17"/>
                  <w:szCs w:val="17"/>
                  <w:lang w:val="en"/>
                </w:rPr>
                <w:t>statins</w:t>
              </w:r>
            </w:hyperlink>
            <w:r w:rsidRPr="00431EE5">
              <w:rPr>
                <w:rFonts w:eastAsia="Times New Roman" w:cstheme="minorHAnsi"/>
                <w:sz w:val="17"/>
                <w:szCs w:val="17"/>
                <w:lang w:val="en"/>
              </w:rPr>
              <w:t xml:space="preserve">). blocks the thromboxane synthase as well as the thromboxane </w:t>
            </w:r>
            <w:proofErr w:type="spellStart"/>
            <w:r w:rsidRPr="00431EE5">
              <w:rPr>
                <w:rFonts w:eastAsia="Times New Roman" w:cstheme="minorHAnsi"/>
                <w:sz w:val="17"/>
                <w:szCs w:val="17"/>
                <w:lang w:val="en"/>
              </w:rPr>
              <w:t>receptor.It</w:t>
            </w:r>
            <w:proofErr w:type="spellEnd"/>
            <w:r w:rsidRPr="00431EE5">
              <w:rPr>
                <w:rFonts w:eastAsia="Times New Roman" w:cstheme="minorHAnsi"/>
                <w:sz w:val="17"/>
                <w:szCs w:val="17"/>
                <w:lang w:val="en"/>
              </w:rPr>
              <w:t xml:space="preserve"> inhibits the cellular reuptake of </w:t>
            </w:r>
            <w:hyperlink r:id="rId16" w:tooltip="Adenosine" w:history="1">
              <w:r w:rsidRPr="00431EE5">
                <w:rPr>
                  <w:rFonts w:eastAsia="Times New Roman" w:cstheme="minorHAnsi"/>
                  <w:sz w:val="17"/>
                  <w:szCs w:val="17"/>
                  <w:lang w:val="en"/>
                </w:rPr>
                <w:t>adenosine</w:t>
              </w:r>
            </w:hyperlink>
            <w:r w:rsidRPr="00431EE5">
              <w:rPr>
                <w:rFonts w:eastAsia="Times New Roman" w:cstheme="minorHAnsi"/>
                <w:sz w:val="17"/>
                <w:szCs w:val="17"/>
                <w:lang w:val="en"/>
              </w:rPr>
              <w:t xml:space="preserve"> into </w:t>
            </w:r>
            <w:hyperlink r:id="rId17" w:tooltip="Platelets" w:history="1">
              <w:r w:rsidRPr="00431EE5">
                <w:rPr>
                  <w:rFonts w:eastAsia="Times New Roman" w:cstheme="minorHAnsi"/>
                  <w:sz w:val="17"/>
                  <w:szCs w:val="17"/>
                  <w:lang w:val="en"/>
                </w:rPr>
                <w:t>platelets</w:t>
              </w:r>
            </w:hyperlink>
            <w:r w:rsidRPr="00431EE5">
              <w:rPr>
                <w:rFonts w:eastAsia="Times New Roman" w:cstheme="minorHAnsi"/>
                <w:sz w:val="17"/>
                <w:szCs w:val="17"/>
                <w:lang w:val="en"/>
              </w:rPr>
              <w:t xml:space="preserve">, </w:t>
            </w:r>
            <w:hyperlink r:id="rId18" w:tooltip="Red blood cell" w:history="1">
              <w:r w:rsidRPr="00431EE5">
                <w:rPr>
                  <w:rFonts w:eastAsia="Times New Roman" w:cstheme="minorHAnsi"/>
                  <w:sz w:val="17"/>
                  <w:szCs w:val="17"/>
                  <w:lang w:val="en"/>
                </w:rPr>
                <w:t>red blood cells</w:t>
              </w:r>
            </w:hyperlink>
            <w:r w:rsidRPr="00431EE5">
              <w:rPr>
                <w:rFonts w:eastAsia="Times New Roman" w:cstheme="minorHAnsi"/>
                <w:sz w:val="17"/>
                <w:szCs w:val="17"/>
                <w:lang w:val="en"/>
              </w:rPr>
              <w:t xml:space="preserve"> and </w:t>
            </w:r>
            <w:hyperlink r:id="rId19" w:tooltip="Endothelial cell" w:history="1">
              <w:r w:rsidRPr="00431EE5">
                <w:rPr>
                  <w:rFonts w:eastAsia="Times New Roman" w:cstheme="minorHAnsi"/>
                  <w:sz w:val="17"/>
                  <w:szCs w:val="17"/>
                  <w:lang w:val="en"/>
                </w:rPr>
                <w:t>endothelial cells</w:t>
              </w:r>
            </w:hyperlink>
            <w:r w:rsidRPr="00431EE5">
              <w:rPr>
                <w:rFonts w:eastAsia="Times New Roman" w:cstheme="minorHAnsi"/>
                <w:sz w:val="17"/>
                <w:szCs w:val="17"/>
                <w:lang w:val="en"/>
              </w:rPr>
              <w:t xml:space="preserve"> leading to increased extracellular concentrations of adenosine.</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58247C"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Hepatic</w:t>
            </w: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B60136" w:rsidP="00BF3590">
            <w:pPr>
              <w:pStyle w:val="ListParagraph"/>
              <w:numPr>
                <w:ilvl w:val="0"/>
                <w:numId w:val="7"/>
              </w:numPr>
              <w:spacing w:after="0" w:line="240" w:lineRule="auto"/>
              <w:ind w:left="360"/>
              <w:rPr>
                <w:rFonts w:eastAsia="Times New Roman" w:cstheme="minorHAnsi"/>
                <w:color w:val="000000"/>
                <w:sz w:val="17"/>
                <w:szCs w:val="17"/>
              </w:rPr>
            </w:pPr>
            <w:r w:rsidRPr="00431EE5">
              <w:rPr>
                <w:rFonts w:cstheme="minorHAnsi"/>
                <w:sz w:val="17"/>
                <w:szCs w:val="17"/>
                <w:lang w:val="en"/>
              </w:rPr>
              <w:t>A</w:t>
            </w:r>
            <w:r w:rsidR="0058247C" w:rsidRPr="00431EE5">
              <w:rPr>
                <w:rFonts w:cstheme="minorHAnsi"/>
                <w:sz w:val="17"/>
                <w:szCs w:val="17"/>
                <w:lang w:val="en"/>
              </w:rPr>
              <w:t>lpha half-life (the initial decline following peak concentration) is approximately 40 minutes. The beta half-life (the terminal decline in plasma concentration) is approximately 10 hours.</w:t>
            </w: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cstheme="minorHAnsi"/>
                <w:sz w:val="17"/>
                <w:szCs w:val="17"/>
                <w:lang w:val="en"/>
              </w:rPr>
            </w:pPr>
          </w:p>
          <w:p w:rsidR="00F7427E" w:rsidRPr="00431EE5" w:rsidRDefault="00F7427E" w:rsidP="00F7427E">
            <w:pPr>
              <w:pStyle w:val="ListParagraph"/>
              <w:spacing w:after="0" w:line="240" w:lineRule="auto"/>
              <w:ind w:left="360"/>
              <w:rPr>
                <w:rFonts w:eastAsia="Times New Roman" w:cstheme="minorHAnsi"/>
                <w:color w:val="000000"/>
                <w:sz w:val="17"/>
                <w:szCs w:val="17"/>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58247C"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Post op valve replacement</w:t>
            </w:r>
          </w:p>
          <w:p w:rsidR="0058247C" w:rsidRPr="00431EE5" w:rsidRDefault="0058247C"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VAD post op management</w:t>
            </w: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666296" w:rsidP="006A44D7">
            <w:pPr>
              <w:spacing w:after="0" w:line="240" w:lineRule="auto"/>
              <w:rPr>
                <w:rFonts w:ascii="Calibri" w:eastAsia="Times New Roman" w:hAnsi="Calibri" w:cs="Calibri"/>
                <w:color w:val="C00000"/>
                <w:sz w:val="17"/>
                <w:szCs w:val="17"/>
              </w:rPr>
            </w:pPr>
            <w:r w:rsidRPr="00431EE5">
              <w:rPr>
                <w:rFonts w:ascii="Calibri" w:eastAsia="Times New Roman" w:hAnsi="Calibri" w:cs="Calibri"/>
                <w:color w:val="C00000"/>
                <w:sz w:val="17"/>
                <w:szCs w:val="17"/>
              </w:rPr>
              <w:t>TEG – PLM ADP</w:t>
            </w: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BB21F2"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Platelet transfusions </w:t>
            </w: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tc>
      </w:tr>
      <w:tr w:rsidR="00666296" w:rsidRPr="00C75FF4" w:rsidTr="00B74398">
        <w:trPr>
          <w:trHeight w:val="728"/>
        </w:trPr>
        <w:tc>
          <w:tcPr>
            <w:tcW w:w="644" w:type="dxa"/>
            <w:tcBorders>
              <w:left w:val="single" w:sz="4" w:space="0" w:color="auto"/>
            </w:tcBorders>
            <w:shd w:val="clear" w:color="auto" w:fill="EAF1DD" w:themeFill="accent3" w:themeFillTint="33"/>
            <w:textDirection w:val="btLr"/>
            <w:vAlign w:val="center"/>
          </w:tcPr>
          <w:p w:rsidR="00666296" w:rsidRPr="00BF3CBF" w:rsidRDefault="00666296" w:rsidP="00F7427E">
            <w:pPr>
              <w:spacing w:after="0" w:line="240" w:lineRule="auto"/>
              <w:jc w:val="center"/>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Antiplatelet</w:t>
            </w:r>
          </w:p>
        </w:tc>
        <w:tc>
          <w:tcPr>
            <w:tcW w:w="271" w:type="dxa"/>
            <w:tcBorders>
              <w:top w:val="nil"/>
              <w:right w:val="single" w:sz="4" w:space="0" w:color="auto"/>
            </w:tcBorders>
            <w:shd w:val="clear" w:color="auto" w:fill="EAF1DD" w:themeFill="accent3" w:themeFillTint="33"/>
            <w:noWrap/>
            <w:textDirection w:val="btLr"/>
            <w:vAlign w:val="center"/>
          </w:tcPr>
          <w:p w:rsidR="00666296" w:rsidRPr="00431EE5" w:rsidRDefault="00666296" w:rsidP="00F7427E">
            <w:pPr>
              <w:spacing w:after="0" w:line="240" w:lineRule="auto"/>
              <w:jc w:val="center"/>
              <w:rPr>
                <w:rFonts w:ascii="Calibri" w:eastAsia="Times New Roman" w:hAnsi="Calibri" w:cs="Calibri"/>
                <w:color w:val="000000"/>
                <w:sz w:val="20"/>
                <w:szCs w:val="20"/>
              </w:rPr>
            </w:pPr>
            <w:r w:rsidRPr="00431EE5">
              <w:rPr>
                <w:rFonts w:ascii="Calibri" w:eastAsia="Times New Roman" w:hAnsi="Calibri" w:cs="Calibri"/>
                <w:color w:val="000000"/>
                <w:sz w:val="20"/>
                <w:szCs w:val="20"/>
              </w:rPr>
              <w:t>PO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7427E" w:rsidRPr="00431EE5" w:rsidRDefault="00666296" w:rsidP="00C75FF4">
            <w:pPr>
              <w:spacing w:after="0" w:line="240" w:lineRule="auto"/>
              <w:rPr>
                <w:rFonts w:ascii="Calibri" w:eastAsia="Times New Roman" w:hAnsi="Calibri" w:cs="Calibri"/>
                <w:color w:val="000000"/>
                <w:sz w:val="17"/>
                <w:szCs w:val="17"/>
              </w:rPr>
            </w:pPr>
            <w:proofErr w:type="spellStart"/>
            <w:r w:rsidRPr="00431EE5">
              <w:rPr>
                <w:rFonts w:ascii="Calibri" w:eastAsia="Times New Roman" w:hAnsi="Calibri" w:cs="Calibri"/>
                <w:color w:val="000000"/>
                <w:sz w:val="17"/>
                <w:szCs w:val="17"/>
              </w:rPr>
              <w:t>Dipyridamole</w:t>
            </w:r>
            <w:proofErr w:type="spellEnd"/>
            <w:r w:rsidRPr="00431EE5">
              <w:rPr>
                <w:rFonts w:ascii="Calibri" w:eastAsia="Times New Roman" w:hAnsi="Calibri" w:cs="Calibri"/>
                <w:color w:val="000000"/>
                <w:sz w:val="17"/>
                <w:szCs w:val="17"/>
              </w:rPr>
              <w:t xml:space="preserve"> + Aspirin (Aggrenox)</w:t>
            </w:r>
          </w:p>
        </w:tc>
        <w:tc>
          <w:tcPr>
            <w:tcW w:w="1980" w:type="dxa"/>
            <w:gridSpan w:val="3"/>
            <w:tcBorders>
              <w:top w:val="single" w:sz="4" w:space="0" w:color="auto"/>
              <w:left w:val="nil"/>
              <w:bottom w:val="single" w:sz="4" w:space="0" w:color="auto"/>
              <w:right w:val="single" w:sz="4" w:space="0" w:color="auto"/>
            </w:tcBorders>
            <w:shd w:val="clear" w:color="auto" w:fill="auto"/>
            <w:vAlign w:val="bottom"/>
          </w:tcPr>
          <w:p w:rsidR="00F7427E" w:rsidRPr="00431EE5" w:rsidRDefault="0058247C"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See above for </w:t>
            </w:r>
            <w:proofErr w:type="spellStart"/>
            <w:r w:rsidRPr="00431EE5">
              <w:rPr>
                <w:rFonts w:ascii="Calibri" w:eastAsia="Times New Roman" w:hAnsi="Calibri" w:cs="Calibri"/>
                <w:color w:val="000000"/>
                <w:sz w:val="17"/>
                <w:szCs w:val="17"/>
              </w:rPr>
              <w:t>asa</w:t>
            </w:r>
            <w:proofErr w:type="spellEnd"/>
            <w:r w:rsidRPr="00431EE5">
              <w:rPr>
                <w:rFonts w:ascii="Calibri" w:eastAsia="Times New Roman" w:hAnsi="Calibri" w:cs="Calibri"/>
                <w:color w:val="000000"/>
                <w:sz w:val="17"/>
                <w:szCs w:val="17"/>
              </w:rPr>
              <w:t xml:space="preserve"> and </w:t>
            </w:r>
            <w:proofErr w:type="spellStart"/>
            <w:r w:rsidRPr="00431EE5">
              <w:rPr>
                <w:rFonts w:ascii="Calibri" w:eastAsia="Times New Roman" w:hAnsi="Calibri" w:cs="Calibri"/>
                <w:color w:val="000000"/>
                <w:sz w:val="17"/>
                <w:szCs w:val="17"/>
              </w:rPr>
              <w:t>persantine</w:t>
            </w:r>
            <w:proofErr w:type="spellEnd"/>
          </w:p>
          <w:p w:rsidR="00F7427E" w:rsidRPr="00431EE5" w:rsidRDefault="00F7427E"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F7427E"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H</w:t>
            </w:r>
            <w:r w:rsidR="00BB21F2" w:rsidRPr="00431EE5">
              <w:rPr>
                <w:rFonts w:ascii="Calibri" w:eastAsia="Times New Roman" w:hAnsi="Calibri" w:cs="Calibri"/>
                <w:color w:val="000000"/>
                <w:sz w:val="17"/>
                <w:szCs w:val="17"/>
              </w:rPr>
              <w:t>epatic</w:t>
            </w: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BB21F2"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See above</w:t>
            </w: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BB21F2"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Stroke management</w:t>
            </w:r>
          </w:p>
          <w:p w:rsidR="00F7427E" w:rsidRPr="00431EE5" w:rsidRDefault="00F7427E" w:rsidP="00F7427E">
            <w:pPr>
              <w:spacing w:after="0" w:line="240" w:lineRule="auto"/>
              <w:rPr>
                <w:rFonts w:ascii="Calibri" w:eastAsia="Times New Roman" w:hAnsi="Calibri" w:cs="Calibri"/>
                <w:color w:val="000000"/>
                <w:sz w:val="17"/>
                <w:szCs w:val="17"/>
              </w:rPr>
            </w:pPr>
          </w:p>
          <w:p w:rsidR="00F7427E" w:rsidRPr="00431EE5" w:rsidRDefault="00F7427E" w:rsidP="00F7427E">
            <w:pPr>
              <w:spacing w:after="0" w:line="240" w:lineRule="auto"/>
              <w:rPr>
                <w:rFonts w:ascii="Calibri" w:eastAsia="Times New Roman" w:hAnsi="Calibri" w:cs="Calibri"/>
                <w:color w:val="000000"/>
                <w:sz w:val="17"/>
                <w:szCs w:val="17"/>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666296" w:rsidP="006A44D7">
            <w:pPr>
              <w:spacing w:after="0" w:line="240" w:lineRule="auto"/>
              <w:rPr>
                <w:rFonts w:ascii="Calibri" w:eastAsia="Times New Roman" w:hAnsi="Calibri" w:cs="Calibri"/>
                <w:color w:val="C00000"/>
                <w:sz w:val="17"/>
                <w:szCs w:val="17"/>
              </w:rPr>
            </w:pPr>
            <w:r w:rsidRPr="00431EE5">
              <w:rPr>
                <w:rFonts w:ascii="Calibri" w:eastAsia="Times New Roman" w:hAnsi="Calibri" w:cs="Calibri"/>
                <w:color w:val="C00000"/>
                <w:sz w:val="17"/>
                <w:szCs w:val="17"/>
              </w:rPr>
              <w:t>TEG – PLM ADP</w:t>
            </w:r>
          </w:p>
          <w:p w:rsidR="00F7427E" w:rsidRPr="00431EE5" w:rsidRDefault="00F7427E" w:rsidP="006A44D7">
            <w:pPr>
              <w:spacing w:after="0" w:line="240" w:lineRule="auto"/>
              <w:rPr>
                <w:rFonts w:ascii="Calibri" w:eastAsia="Times New Roman" w:hAnsi="Calibri" w:cs="Calibri"/>
                <w:color w:val="C00000"/>
                <w:sz w:val="17"/>
                <w:szCs w:val="17"/>
              </w:rPr>
            </w:pPr>
          </w:p>
          <w:p w:rsidR="00F7427E" w:rsidRPr="00431EE5" w:rsidRDefault="00F7427E" w:rsidP="006A44D7">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6D525B"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Platelet transfusion</w:t>
            </w:r>
          </w:p>
          <w:p w:rsidR="00F7427E" w:rsidRPr="00431EE5" w:rsidRDefault="00F7427E" w:rsidP="00C75FF4">
            <w:pPr>
              <w:spacing w:after="0" w:line="240" w:lineRule="auto"/>
              <w:rPr>
                <w:rFonts w:ascii="Calibri" w:eastAsia="Times New Roman" w:hAnsi="Calibri" w:cs="Calibri"/>
                <w:color w:val="000000"/>
                <w:sz w:val="17"/>
                <w:szCs w:val="17"/>
              </w:rPr>
            </w:pPr>
          </w:p>
          <w:p w:rsidR="00F7427E" w:rsidRPr="00431EE5" w:rsidRDefault="00F7427E" w:rsidP="00C75FF4">
            <w:pPr>
              <w:spacing w:after="0" w:line="240" w:lineRule="auto"/>
              <w:rPr>
                <w:rFonts w:ascii="Calibri" w:eastAsia="Times New Roman" w:hAnsi="Calibri" w:cs="Calibri"/>
                <w:color w:val="000000"/>
                <w:sz w:val="17"/>
                <w:szCs w:val="17"/>
              </w:rPr>
            </w:pPr>
          </w:p>
        </w:tc>
      </w:tr>
      <w:tr w:rsidR="00666296" w:rsidRPr="00C75FF4" w:rsidTr="00B74398">
        <w:trPr>
          <w:trHeight w:val="1034"/>
        </w:trPr>
        <w:tc>
          <w:tcPr>
            <w:tcW w:w="644" w:type="dxa"/>
            <w:tcBorders>
              <w:left w:val="single" w:sz="4" w:space="0" w:color="auto"/>
              <w:bottom w:val="single" w:sz="4" w:space="0" w:color="auto"/>
            </w:tcBorders>
            <w:shd w:val="clear" w:color="auto" w:fill="EAF1DD" w:themeFill="accent3" w:themeFillTint="33"/>
            <w:vAlign w:val="center"/>
          </w:tcPr>
          <w:p w:rsidR="00666296" w:rsidRPr="00C75FF4" w:rsidRDefault="00666296" w:rsidP="00C75FF4">
            <w:pPr>
              <w:spacing w:after="0" w:line="240" w:lineRule="auto"/>
              <w:rPr>
                <w:rFonts w:ascii="Calibri" w:eastAsia="Times New Roman" w:hAnsi="Calibri" w:cs="Calibri"/>
                <w:color w:val="000000"/>
                <w:sz w:val="20"/>
                <w:szCs w:val="20"/>
              </w:rPr>
            </w:pPr>
          </w:p>
        </w:tc>
        <w:tc>
          <w:tcPr>
            <w:tcW w:w="271" w:type="dxa"/>
            <w:tcBorders>
              <w:bottom w:val="single" w:sz="4" w:space="0" w:color="auto"/>
              <w:right w:val="single" w:sz="4" w:space="0" w:color="auto"/>
            </w:tcBorders>
            <w:shd w:val="clear" w:color="auto" w:fill="EAF1DD" w:themeFill="accent3" w:themeFillTint="33"/>
            <w:noWrap/>
            <w:vAlign w:val="bottom"/>
          </w:tcPr>
          <w:p w:rsidR="00666296" w:rsidRPr="00C75FF4" w:rsidRDefault="00666296" w:rsidP="00C75FF4">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66296" w:rsidRDefault="00666296" w:rsidP="00C75FF4">
            <w:pPr>
              <w:spacing w:after="0" w:line="240" w:lineRule="auto"/>
              <w:rPr>
                <w:rFonts w:ascii="Calibri" w:eastAsia="Times New Roman" w:hAnsi="Calibri" w:cs="Calibri"/>
                <w:color w:val="000000"/>
                <w:sz w:val="17"/>
                <w:szCs w:val="17"/>
              </w:rPr>
            </w:pPr>
            <w:proofErr w:type="spellStart"/>
            <w:r w:rsidRPr="00431EE5">
              <w:rPr>
                <w:rFonts w:ascii="Calibri" w:eastAsia="Times New Roman" w:hAnsi="Calibri" w:cs="Calibri"/>
                <w:color w:val="000000"/>
                <w:sz w:val="17"/>
                <w:szCs w:val="17"/>
              </w:rPr>
              <w:t>Cilostazol</w:t>
            </w:r>
            <w:proofErr w:type="spellEnd"/>
            <w:r w:rsidRPr="00431EE5">
              <w:rPr>
                <w:rFonts w:ascii="Calibri" w:eastAsia="Times New Roman" w:hAnsi="Calibri" w:cs="Calibri"/>
                <w:color w:val="000000"/>
                <w:sz w:val="17"/>
                <w:szCs w:val="17"/>
              </w:rPr>
              <w:t xml:space="preserve"> (Pletal)</w:t>
            </w:r>
          </w:p>
          <w:p w:rsidR="00431EE5" w:rsidRDefault="00431EE5" w:rsidP="00C75FF4">
            <w:pPr>
              <w:spacing w:after="0" w:line="240" w:lineRule="auto"/>
              <w:rPr>
                <w:rFonts w:ascii="Calibri" w:eastAsia="Times New Roman" w:hAnsi="Calibri" w:cs="Calibri"/>
                <w:color w:val="000000"/>
                <w:sz w:val="17"/>
                <w:szCs w:val="17"/>
              </w:rPr>
            </w:pPr>
          </w:p>
          <w:p w:rsidR="00431EE5" w:rsidRDefault="00431EE5" w:rsidP="00C75FF4">
            <w:pPr>
              <w:spacing w:after="0" w:line="240" w:lineRule="auto"/>
              <w:rPr>
                <w:rFonts w:ascii="Calibri" w:eastAsia="Times New Roman" w:hAnsi="Calibri" w:cs="Calibri"/>
                <w:color w:val="000000"/>
                <w:sz w:val="17"/>
                <w:szCs w:val="17"/>
              </w:rPr>
            </w:pPr>
          </w:p>
          <w:p w:rsidR="00431EE5" w:rsidRPr="00431EE5" w:rsidRDefault="00431EE5"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vAlign w:val="bottom"/>
          </w:tcPr>
          <w:p w:rsidR="00666296" w:rsidRPr="00431EE5" w:rsidRDefault="006D525B" w:rsidP="00C75FF4">
            <w:pPr>
              <w:spacing w:after="0" w:line="240" w:lineRule="auto"/>
              <w:rPr>
                <w:rFonts w:ascii="Calibri" w:eastAsia="Times New Roman" w:hAnsi="Calibri" w:cs="Calibri"/>
                <w:color w:val="000000"/>
                <w:sz w:val="17"/>
                <w:szCs w:val="17"/>
              </w:rPr>
            </w:pPr>
            <w:proofErr w:type="spellStart"/>
            <w:r w:rsidRPr="00431EE5">
              <w:rPr>
                <w:rFonts w:ascii="Calibri" w:eastAsia="Times New Roman" w:hAnsi="Calibri" w:cs="Calibri"/>
                <w:color w:val="000000"/>
                <w:sz w:val="17"/>
                <w:szCs w:val="17"/>
              </w:rPr>
              <w:t>Phosphodiesterase</w:t>
            </w:r>
            <w:proofErr w:type="spellEnd"/>
            <w:r w:rsidRPr="00431EE5">
              <w:rPr>
                <w:rFonts w:ascii="Calibri" w:eastAsia="Times New Roman" w:hAnsi="Calibri" w:cs="Calibri"/>
                <w:color w:val="000000"/>
                <w:sz w:val="17"/>
                <w:szCs w:val="17"/>
              </w:rPr>
              <w:t xml:space="preserve"> III inhibitor, widening vascular walls and lessening platelet ability to adhere</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tcPr>
          <w:p w:rsidR="00666296" w:rsidRDefault="00F7427E"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H</w:t>
            </w:r>
            <w:r w:rsidR="006D525B" w:rsidRPr="00431EE5">
              <w:rPr>
                <w:rFonts w:ascii="Calibri" w:eastAsia="Times New Roman" w:hAnsi="Calibri" w:cs="Calibri"/>
                <w:color w:val="000000"/>
                <w:sz w:val="17"/>
                <w:szCs w:val="17"/>
              </w:rPr>
              <w:t>epatic</w:t>
            </w:r>
          </w:p>
          <w:p w:rsidR="00431EE5" w:rsidRDefault="00431EE5" w:rsidP="00C75FF4">
            <w:pPr>
              <w:spacing w:after="0" w:line="240" w:lineRule="auto"/>
              <w:rPr>
                <w:rFonts w:ascii="Calibri" w:eastAsia="Times New Roman" w:hAnsi="Calibri" w:cs="Calibri"/>
                <w:color w:val="000000"/>
                <w:sz w:val="17"/>
                <w:szCs w:val="17"/>
              </w:rPr>
            </w:pPr>
          </w:p>
          <w:p w:rsidR="00431EE5" w:rsidRDefault="00431EE5" w:rsidP="00C75FF4">
            <w:pPr>
              <w:spacing w:after="0" w:line="240" w:lineRule="auto"/>
              <w:rPr>
                <w:rFonts w:ascii="Calibri" w:eastAsia="Times New Roman" w:hAnsi="Calibri" w:cs="Calibri"/>
                <w:color w:val="000000"/>
                <w:sz w:val="17"/>
                <w:szCs w:val="17"/>
              </w:rPr>
            </w:pPr>
          </w:p>
          <w:p w:rsidR="00431EE5" w:rsidRDefault="00431EE5" w:rsidP="00C75FF4">
            <w:pPr>
              <w:spacing w:after="0" w:line="240" w:lineRule="auto"/>
              <w:rPr>
                <w:rFonts w:ascii="Calibri" w:eastAsia="Times New Roman" w:hAnsi="Calibri" w:cs="Calibri"/>
                <w:color w:val="000000"/>
                <w:sz w:val="17"/>
                <w:szCs w:val="17"/>
              </w:rPr>
            </w:pPr>
          </w:p>
          <w:p w:rsidR="00431EE5" w:rsidRPr="00431EE5" w:rsidRDefault="00431EE5"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tcPr>
          <w:p w:rsidR="00666296" w:rsidRDefault="00BC7A2F" w:rsidP="00BF359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 xml:space="preserve">11-13 </w:t>
            </w:r>
            <w:proofErr w:type="spellStart"/>
            <w:r w:rsidRPr="00431EE5">
              <w:rPr>
                <w:rFonts w:ascii="Calibri" w:eastAsia="Times New Roman" w:hAnsi="Calibri" w:cs="Calibri"/>
                <w:color w:val="000000"/>
                <w:sz w:val="17"/>
                <w:szCs w:val="17"/>
              </w:rPr>
              <w:t>hrs</w:t>
            </w:r>
            <w:proofErr w:type="spellEnd"/>
          </w:p>
          <w:p w:rsidR="00431EE5" w:rsidRDefault="00431EE5" w:rsidP="00431EE5">
            <w:pPr>
              <w:spacing w:after="0" w:line="240" w:lineRule="auto"/>
              <w:rPr>
                <w:rFonts w:ascii="Calibri" w:eastAsia="Times New Roman" w:hAnsi="Calibri" w:cs="Calibri"/>
                <w:color w:val="000000"/>
                <w:sz w:val="17"/>
                <w:szCs w:val="17"/>
              </w:rPr>
            </w:pPr>
          </w:p>
          <w:p w:rsidR="00431EE5" w:rsidRDefault="00431EE5" w:rsidP="00431EE5">
            <w:pPr>
              <w:spacing w:after="0" w:line="240" w:lineRule="auto"/>
              <w:rPr>
                <w:rFonts w:ascii="Calibri" w:eastAsia="Times New Roman" w:hAnsi="Calibri" w:cs="Calibri"/>
                <w:color w:val="000000"/>
                <w:sz w:val="17"/>
                <w:szCs w:val="17"/>
              </w:rPr>
            </w:pPr>
          </w:p>
          <w:p w:rsidR="00431EE5" w:rsidRDefault="00431EE5" w:rsidP="00431EE5">
            <w:pPr>
              <w:spacing w:after="0" w:line="240" w:lineRule="auto"/>
              <w:rPr>
                <w:rFonts w:ascii="Calibri" w:eastAsia="Times New Roman" w:hAnsi="Calibri" w:cs="Calibri"/>
                <w:color w:val="000000"/>
                <w:sz w:val="17"/>
                <w:szCs w:val="17"/>
              </w:rPr>
            </w:pPr>
          </w:p>
          <w:p w:rsidR="00431EE5" w:rsidRPr="00431EE5" w:rsidRDefault="00431EE5" w:rsidP="00431EE5">
            <w:pPr>
              <w:spacing w:after="0" w:line="240" w:lineRule="auto"/>
              <w:rPr>
                <w:rFonts w:ascii="Calibri" w:eastAsia="Times New Roman" w:hAnsi="Calibri" w:cs="Calibri"/>
                <w:color w:val="000000"/>
                <w:sz w:val="17"/>
                <w:szCs w:val="17"/>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tcPr>
          <w:p w:rsidR="00666296" w:rsidRPr="00431EE5" w:rsidRDefault="006D525B"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PVD</w:t>
            </w:r>
          </w:p>
          <w:p w:rsidR="006D525B" w:rsidRDefault="006D525B" w:rsidP="00DF04D0">
            <w:pPr>
              <w:pStyle w:val="ListParagraph"/>
              <w:numPr>
                <w:ilvl w:val="0"/>
                <w:numId w:val="7"/>
              </w:numPr>
              <w:spacing w:after="0" w:line="240" w:lineRule="auto"/>
              <w:ind w:left="360"/>
              <w:rPr>
                <w:rFonts w:ascii="Calibri" w:eastAsia="Times New Roman" w:hAnsi="Calibri" w:cs="Calibri"/>
                <w:color w:val="000000"/>
                <w:sz w:val="17"/>
                <w:szCs w:val="17"/>
              </w:rPr>
            </w:pPr>
            <w:r w:rsidRPr="00431EE5">
              <w:rPr>
                <w:rFonts w:ascii="Calibri" w:eastAsia="Times New Roman" w:hAnsi="Calibri" w:cs="Calibri"/>
                <w:color w:val="000000"/>
                <w:sz w:val="17"/>
                <w:szCs w:val="17"/>
              </w:rPr>
              <w:t>Intermittent Claudication</w:t>
            </w:r>
          </w:p>
          <w:p w:rsidR="00431EE5" w:rsidRDefault="00431EE5" w:rsidP="00431EE5">
            <w:pPr>
              <w:spacing w:after="0" w:line="240" w:lineRule="auto"/>
              <w:rPr>
                <w:rFonts w:ascii="Calibri" w:eastAsia="Times New Roman" w:hAnsi="Calibri" w:cs="Calibri"/>
                <w:color w:val="000000"/>
                <w:sz w:val="17"/>
                <w:szCs w:val="17"/>
              </w:rPr>
            </w:pPr>
          </w:p>
          <w:p w:rsidR="00431EE5" w:rsidRDefault="00431EE5" w:rsidP="00431EE5">
            <w:pPr>
              <w:spacing w:after="0" w:line="240" w:lineRule="auto"/>
              <w:rPr>
                <w:rFonts w:ascii="Calibri" w:eastAsia="Times New Roman" w:hAnsi="Calibri" w:cs="Calibri"/>
                <w:color w:val="000000"/>
                <w:sz w:val="17"/>
                <w:szCs w:val="17"/>
              </w:rPr>
            </w:pPr>
          </w:p>
          <w:p w:rsidR="00431EE5" w:rsidRPr="00431EE5" w:rsidRDefault="00431EE5" w:rsidP="00431EE5">
            <w:pPr>
              <w:spacing w:after="0" w:line="240" w:lineRule="auto"/>
              <w:rPr>
                <w:rFonts w:ascii="Calibri" w:eastAsia="Times New Roman" w:hAnsi="Calibri" w:cs="Calibri"/>
                <w:color w:val="000000"/>
                <w:sz w:val="17"/>
                <w:szCs w:val="17"/>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666296" w:rsidRDefault="00666296" w:rsidP="006A44D7">
            <w:pPr>
              <w:spacing w:after="0" w:line="240" w:lineRule="auto"/>
              <w:rPr>
                <w:rFonts w:ascii="Calibri" w:eastAsia="Times New Roman" w:hAnsi="Calibri" w:cs="Calibri"/>
                <w:color w:val="C00000"/>
                <w:sz w:val="17"/>
                <w:szCs w:val="17"/>
              </w:rPr>
            </w:pPr>
            <w:r w:rsidRPr="00431EE5">
              <w:rPr>
                <w:rFonts w:ascii="Calibri" w:eastAsia="Times New Roman" w:hAnsi="Calibri" w:cs="Calibri"/>
                <w:color w:val="C00000"/>
                <w:sz w:val="17"/>
                <w:szCs w:val="17"/>
              </w:rPr>
              <w:t>TEG – PLM ADP</w:t>
            </w:r>
          </w:p>
          <w:p w:rsidR="00431EE5" w:rsidRDefault="00431EE5" w:rsidP="006A44D7">
            <w:pPr>
              <w:spacing w:after="0" w:line="240" w:lineRule="auto"/>
              <w:rPr>
                <w:rFonts w:ascii="Calibri" w:eastAsia="Times New Roman" w:hAnsi="Calibri" w:cs="Calibri"/>
                <w:color w:val="C00000"/>
                <w:sz w:val="17"/>
                <w:szCs w:val="17"/>
              </w:rPr>
            </w:pPr>
          </w:p>
          <w:p w:rsidR="00431EE5" w:rsidRDefault="00431EE5" w:rsidP="006A44D7">
            <w:pPr>
              <w:spacing w:after="0" w:line="240" w:lineRule="auto"/>
              <w:rPr>
                <w:rFonts w:ascii="Calibri" w:eastAsia="Times New Roman" w:hAnsi="Calibri" w:cs="Calibri"/>
                <w:color w:val="C00000"/>
                <w:sz w:val="17"/>
                <w:szCs w:val="17"/>
              </w:rPr>
            </w:pPr>
          </w:p>
          <w:p w:rsidR="00431EE5" w:rsidRDefault="00431EE5" w:rsidP="006A44D7">
            <w:pPr>
              <w:spacing w:after="0" w:line="240" w:lineRule="auto"/>
              <w:rPr>
                <w:rFonts w:ascii="Calibri" w:eastAsia="Times New Roman" w:hAnsi="Calibri" w:cs="Calibri"/>
                <w:color w:val="C00000"/>
                <w:sz w:val="17"/>
                <w:szCs w:val="17"/>
              </w:rPr>
            </w:pPr>
          </w:p>
          <w:p w:rsidR="00431EE5" w:rsidRPr="00431EE5" w:rsidRDefault="00431EE5" w:rsidP="006A44D7">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666296" w:rsidRDefault="00BC7A2F" w:rsidP="00C75FF4">
            <w:pPr>
              <w:spacing w:after="0" w:line="240" w:lineRule="auto"/>
              <w:rPr>
                <w:rFonts w:ascii="Calibri" w:eastAsia="Times New Roman" w:hAnsi="Calibri" w:cs="Calibri"/>
                <w:color w:val="000000"/>
                <w:sz w:val="17"/>
                <w:szCs w:val="17"/>
              </w:rPr>
            </w:pPr>
            <w:r w:rsidRPr="00431EE5">
              <w:rPr>
                <w:rFonts w:ascii="Calibri" w:eastAsia="Times New Roman" w:hAnsi="Calibri" w:cs="Calibri"/>
                <w:color w:val="000000"/>
                <w:sz w:val="17"/>
                <w:szCs w:val="17"/>
              </w:rPr>
              <w:t>Platelet transfusion</w:t>
            </w:r>
          </w:p>
          <w:p w:rsidR="00431EE5" w:rsidRDefault="00431EE5" w:rsidP="00C75FF4">
            <w:pPr>
              <w:spacing w:after="0" w:line="240" w:lineRule="auto"/>
              <w:rPr>
                <w:rFonts w:ascii="Calibri" w:eastAsia="Times New Roman" w:hAnsi="Calibri" w:cs="Calibri"/>
                <w:color w:val="000000"/>
                <w:sz w:val="17"/>
                <w:szCs w:val="17"/>
              </w:rPr>
            </w:pPr>
          </w:p>
          <w:p w:rsidR="00431EE5" w:rsidRDefault="00431EE5" w:rsidP="00C75FF4">
            <w:pPr>
              <w:spacing w:after="0" w:line="240" w:lineRule="auto"/>
              <w:rPr>
                <w:rFonts w:ascii="Calibri" w:eastAsia="Times New Roman" w:hAnsi="Calibri" w:cs="Calibri"/>
                <w:color w:val="000000"/>
                <w:sz w:val="17"/>
                <w:szCs w:val="17"/>
              </w:rPr>
            </w:pPr>
          </w:p>
          <w:p w:rsidR="00431EE5" w:rsidRDefault="00431EE5" w:rsidP="00C75FF4">
            <w:pPr>
              <w:spacing w:after="0" w:line="240" w:lineRule="auto"/>
              <w:rPr>
                <w:rFonts w:ascii="Calibri" w:eastAsia="Times New Roman" w:hAnsi="Calibri" w:cs="Calibri"/>
                <w:color w:val="000000"/>
                <w:sz w:val="17"/>
                <w:szCs w:val="17"/>
              </w:rPr>
            </w:pPr>
          </w:p>
          <w:p w:rsidR="00431EE5" w:rsidRPr="00431EE5" w:rsidRDefault="00431EE5" w:rsidP="00C75FF4">
            <w:pPr>
              <w:spacing w:after="0" w:line="240" w:lineRule="auto"/>
              <w:rPr>
                <w:rFonts w:ascii="Calibri" w:eastAsia="Times New Roman" w:hAnsi="Calibri" w:cs="Calibri"/>
                <w:color w:val="000000"/>
                <w:sz w:val="17"/>
                <w:szCs w:val="17"/>
              </w:rPr>
            </w:pPr>
          </w:p>
        </w:tc>
      </w:tr>
      <w:tr w:rsidR="00F7427E" w:rsidRPr="00C75FF4" w:rsidTr="00EB197C">
        <w:trPr>
          <w:trHeight w:val="1034"/>
        </w:trPr>
        <w:tc>
          <w:tcPr>
            <w:tcW w:w="644" w:type="dxa"/>
            <w:tcBorders>
              <w:top w:val="single" w:sz="4" w:space="0" w:color="auto"/>
              <w:left w:val="single" w:sz="4" w:space="0" w:color="auto"/>
              <w:bottom w:val="single" w:sz="4" w:space="0" w:color="auto"/>
            </w:tcBorders>
            <w:vAlign w:val="center"/>
          </w:tcPr>
          <w:p w:rsidR="00F7427E" w:rsidRPr="00C75FF4" w:rsidRDefault="00F7427E" w:rsidP="00C75FF4">
            <w:pPr>
              <w:spacing w:after="0" w:line="240" w:lineRule="auto"/>
              <w:rPr>
                <w:rFonts w:ascii="Calibri" w:eastAsia="Times New Roman" w:hAnsi="Calibri" w:cs="Calibri"/>
                <w:color w:val="000000"/>
                <w:sz w:val="20"/>
                <w:szCs w:val="20"/>
              </w:rPr>
            </w:pPr>
          </w:p>
        </w:tc>
        <w:tc>
          <w:tcPr>
            <w:tcW w:w="271" w:type="dxa"/>
            <w:tcBorders>
              <w:top w:val="single" w:sz="4" w:space="0" w:color="auto"/>
              <w:bottom w:val="single" w:sz="4" w:space="0" w:color="auto"/>
            </w:tcBorders>
            <w:shd w:val="clear" w:color="auto" w:fill="auto"/>
            <w:noWrap/>
            <w:vAlign w:val="bottom"/>
          </w:tcPr>
          <w:p w:rsidR="00F7427E" w:rsidRPr="00C75FF4" w:rsidRDefault="00F7427E" w:rsidP="00C75FF4">
            <w:pPr>
              <w:spacing w:after="0" w:line="240" w:lineRule="auto"/>
              <w:rPr>
                <w:rFonts w:ascii="Calibri" w:eastAsia="Times New Roman" w:hAnsi="Calibri" w:cs="Calibri"/>
                <w:color w:val="000000"/>
                <w:sz w:val="20"/>
                <w:szCs w:val="20"/>
              </w:rPr>
            </w:pPr>
          </w:p>
        </w:tc>
        <w:tc>
          <w:tcPr>
            <w:tcW w:w="1260" w:type="dxa"/>
            <w:tcBorders>
              <w:top w:val="single" w:sz="4" w:space="0" w:color="auto"/>
              <w:bottom w:val="single" w:sz="4" w:space="0" w:color="auto"/>
            </w:tcBorders>
            <w:shd w:val="clear" w:color="auto" w:fill="auto"/>
            <w:vAlign w:val="bottom"/>
          </w:tcPr>
          <w:p w:rsidR="00F7427E" w:rsidRDefault="00EB197C" w:rsidP="00C75FF4">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Notes:</w:t>
            </w:r>
          </w:p>
          <w:p w:rsidR="00EB197C" w:rsidRDefault="00EB197C" w:rsidP="00C75FF4">
            <w:pPr>
              <w:spacing w:after="0" w:line="240" w:lineRule="auto"/>
              <w:rPr>
                <w:rFonts w:ascii="Calibri" w:eastAsia="Times New Roman" w:hAnsi="Calibri" w:cs="Calibri"/>
                <w:color w:val="000000"/>
                <w:sz w:val="17"/>
                <w:szCs w:val="17"/>
              </w:rPr>
            </w:pPr>
          </w:p>
          <w:p w:rsidR="00EB197C" w:rsidRDefault="00EB197C" w:rsidP="00C75FF4">
            <w:pPr>
              <w:spacing w:after="0" w:line="240" w:lineRule="auto"/>
              <w:rPr>
                <w:rFonts w:ascii="Calibri" w:eastAsia="Times New Roman" w:hAnsi="Calibri" w:cs="Calibri"/>
                <w:color w:val="000000"/>
                <w:sz w:val="17"/>
                <w:szCs w:val="17"/>
              </w:rPr>
            </w:pPr>
          </w:p>
          <w:p w:rsidR="00EB197C" w:rsidRDefault="00EB197C"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bottom w:val="single" w:sz="4" w:space="0" w:color="auto"/>
            </w:tcBorders>
            <w:shd w:val="clear" w:color="auto" w:fill="auto"/>
            <w:vAlign w:val="bottom"/>
          </w:tcPr>
          <w:p w:rsidR="00F7427E" w:rsidRPr="006D525B" w:rsidRDefault="00F7427E" w:rsidP="00C75FF4">
            <w:pPr>
              <w:spacing w:after="0" w:line="240" w:lineRule="auto"/>
              <w:rPr>
                <w:rFonts w:ascii="Calibri" w:eastAsia="Times New Roman" w:hAnsi="Calibri" w:cs="Calibri"/>
                <w:color w:val="000000"/>
                <w:sz w:val="17"/>
                <w:szCs w:val="17"/>
                <w:highlight w:val="yellow"/>
              </w:rPr>
            </w:pPr>
          </w:p>
        </w:tc>
        <w:tc>
          <w:tcPr>
            <w:tcW w:w="1440" w:type="dxa"/>
            <w:gridSpan w:val="3"/>
            <w:tcBorders>
              <w:top w:val="single" w:sz="4" w:space="0" w:color="auto"/>
              <w:bottom w:val="single" w:sz="4" w:space="0" w:color="auto"/>
            </w:tcBorders>
            <w:shd w:val="clear" w:color="auto" w:fill="auto"/>
            <w:noWrap/>
            <w:vAlign w:val="bottom"/>
          </w:tcPr>
          <w:p w:rsidR="00F7427E" w:rsidRDefault="00F7427E" w:rsidP="00C75FF4">
            <w:pPr>
              <w:spacing w:after="0" w:line="240" w:lineRule="auto"/>
              <w:rPr>
                <w:rFonts w:ascii="Calibri" w:eastAsia="Times New Roman" w:hAnsi="Calibri" w:cs="Calibri"/>
                <w:color w:val="000000"/>
                <w:sz w:val="17"/>
                <w:szCs w:val="17"/>
                <w:highlight w:val="yellow"/>
              </w:rPr>
            </w:pPr>
          </w:p>
        </w:tc>
        <w:tc>
          <w:tcPr>
            <w:tcW w:w="1800" w:type="dxa"/>
            <w:gridSpan w:val="5"/>
            <w:tcBorders>
              <w:top w:val="single" w:sz="4" w:space="0" w:color="auto"/>
              <w:bottom w:val="single" w:sz="4" w:space="0" w:color="auto"/>
            </w:tcBorders>
            <w:shd w:val="clear" w:color="auto" w:fill="auto"/>
            <w:noWrap/>
            <w:vAlign w:val="bottom"/>
          </w:tcPr>
          <w:p w:rsidR="00F7427E" w:rsidRDefault="00F7427E" w:rsidP="00B60136">
            <w:pPr>
              <w:pStyle w:val="ListParagraph"/>
              <w:spacing w:after="0" w:line="240" w:lineRule="auto"/>
              <w:ind w:left="360"/>
              <w:rPr>
                <w:rFonts w:ascii="Calibri" w:eastAsia="Times New Roman" w:hAnsi="Calibri" w:cs="Calibri"/>
                <w:color w:val="000000"/>
                <w:sz w:val="17"/>
                <w:szCs w:val="17"/>
                <w:highlight w:val="yellow"/>
              </w:rPr>
            </w:pPr>
          </w:p>
        </w:tc>
        <w:tc>
          <w:tcPr>
            <w:tcW w:w="2970" w:type="dxa"/>
            <w:gridSpan w:val="4"/>
            <w:tcBorders>
              <w:top w:val="single" w:sz="4" w:space="0" w:color="auto"/>
              <w:bottom w:val="single" w:sz="4" w:space="0" w:color="auto"/>
            </w:tcBorders>
            <w:shd w:val="clear" w:color="auto" w:fill="auto"/>
            <w:noWrap/>
            <w:vAlign w:val="bottom"/>
          </w:tcPr>
          <w:p w:rsidR="00F7427E" w:rsidRDefault="00F7427E" w:rsidP="00B60136">
            <w:pPr>
              <w:pStyle w:val="ListParagraph"/>
              <w:spacing w:after="0" w:line="240" w:lineRule="auto"/>
              <w:ind w:left="360"/>
              <w:rPr>
                <w:rFonts w:ascii="Calibri" w:eastAsia="Times New Roman" w:hAnsi="Calibri" w:cs="Calibri"/>
                <w:color w:val="000000"/>
                <w:sz w:val="17"/>
                <w:szCs w:val="17"/>
                <w:highlight w:val="yellow"/>
              </w:rPr>
            </w:pPr>
          </w:p>
        </w:tc>
        <w:tc>
          <w:tcPr>
            <w:tcW w:w="1890" w:type="dxa"/>
            <w:gridSpan w:val="3"/>
            <w:tcBorders>
              <w:top w:val="single" w:sz="4" w:space="0" w:color="auto"/>
              <w:bottom w:val="single" w:sz="4" w:space="0" w:color="auto"/>
            </w:tcBorders>
            <w:shd w:val="clear" w:color="auto" w:fill="auto"/>
            <w:noWrap/>
            <w:vAlign w:val="bottom"/>
          </w:tcPr>
          <w:p w:rsidR="00F7427E" w:rsidRPr="006A44D7" w:rsidRDefault="00F7427E" w:rsidP="006A44D7">
            <w:pPr>
              <w:spacing w:after="0" w:line="240" w:lineRule="auto"/>
              <w:rPr>
                <w:rFonts w:ascii="Calibri" w:eastAsia="Times New Roman" w:hAnsi="Calibri" w:cs="Calibri"/>
                <w:color w:val="C00000"/>
                <w:sz w:val="17"/>
                <w:szCs w:val="17"/>
              </w:rPr>
            </w:pPr>
          </w:p>
        </w:tc>
        <w:tc>
          <w:tcPr>
            <w:tcW w:w="2880" w:type="dxa"/>
            <w:tcBorders>
              <w:top w:val="single" w:sz="4" w:space="0" w:color="auto"/>
              <w:bottom w:val="single" w:sz="4" w:space="0" w:color="auto"/>
              <w:right w:val="single" w:sz="4" w:space="0" w:color="auto"/>
            </w:tcBorders>
            <w:shd w:val="clear" w:color="auto" w:fill="auto"/>
            <w:noWrap/>
            <w:vAlign w:val="bottom"/>
          </w:tcPr>
          <w:p w:rsidR="00F7427E" w:rsidRPr="00BC7A2F" w:rsidRDefault="00F7427E" w:rsidP="00C75FF4">
            <w:pPr>
              <w:spacing w:after="0" w:line="240" w:lineRule="auto"/>
              <w:rPr>
                <w:rFonts w:ascii="Calibri" w:eastAsia="Times New Roman" w:hAnsi="Calibri" w:cs="Calibri"/>
                <w:color w:val="000000"/>
                <w:sz w:val="17"/>
                <w:szCs w:val="17"/>
                <w:highlight w:val="yellow"/>
              </w:rPr>
            </w:pPr>
          </w:p>
        </w:tc>
      </w:tr>
      <w:tr w:rsidR="005B7380" w:rsidRPr="00C75FF4" w:rsidTr="00B74398">
        <w:trPr>
          <w:trHeight w:val="665"/>
        </w:trPr>
        <w:tc>
          <w:tcPr>
            <w:tcW w:w="644" w:type="dxa"/>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5B7380" w:rsidRPr="00C75FF4" w:rsidRDefault="005B7380" w:rsidP="005F66EF">
            <w:pPr>
              <w:spacing w:after="0" w:line="240" w:lineRule="auto"/>
              <w:jc w:val="right"/>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lastRenderedPageBreak/>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right"/>
              <w:rPr>
                <w:rFonts w:ascii="Calibri" w:eastAsia="Times New Roman" w:hAnsi="Calibri" w:cs="Calibri"/>
                <w:b/>
                <w:bCs/>
                <w:color w:val="000000"/>
                <w:sz w:val="20"/>
                <w:szCs w:val="20"/>
              </w:rPr>
            </w:pPr>
          </w:p>
        </w:tc>
        <w:tc>
          <w:tcPr>
            <w:tcW w:w="1332" w:type="dxa"/>
            <w:gridSpan w:val="2"/>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Agent</w:t>
            </w:r>
          </w:p>
        </w:tc>
        <w:tc>
          <w:tcPr>
            <w:tcW w:w="189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Mechanism</w:t>
            </w:r>
          </w:p>
        </w:tc>
        <w:tc>
          <w:tcPr>
            <w:tcW w:w="1440" w:type="dxa"/>
            <w:gridSpan w:val="3"/>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Clearance</w:t>
            </w:r>
          </w:p>
        </w:tc>
        <w:tc>
          <w:tcPr>
            <w:tcW w:w="1856" w:type="dxa"/>
            <w:gridSpan w:val="7"/>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Usual Half Lif</w:t>
            </w:r>
            <w:r w:rsidRPr="00C75FF4">
              <w:rPr>
                <w:rFonts w:ascii="Calibri" w:eastAsia="Times New Roman" w:hAnsi="Calibri" w:cs="Calibri"/>
                <w:b/>
                <w:bCs/>
                <w:color w:val="000000"/>
                <w:sz w:val="20"/>
                <w:szCs w:val="20"/>
              </w:rPr>
              <w:t xml:space="preserve">e </w:t>
            </w:r>
            <w:r>
              <w:rPr>
                <w:rFonts w:ascii="Calibri" w:eastAsia="Times New Roman" w:hAnsi="Calibri" w:cs="Calibri"/>
                <w:b/>
                <w:bCs/>
                <w:color w:val="000000"/>
                <w:sz w:val="20"/>
                <w:szCs w:val="20"/>
              </w:rPr>
              <w:t>(t</w:t>
            </w:r>
            <w:r w:rsidRPr="00480F91">
              <w:rPr>
                <w:rFonts w:ascii="Calibri" w:eastAsia="Times New Roman" w:hAnsi="Calibri" w:cs="Calibri"/>
                <w:b/>
                <w:bCs/>
                <w:color w:val="000000"/>
                <w:sz w:val="20"/>
                <w:szCs w:val="20"/>
                <w:vertAlign w:val="subscript"/>
              </w:rPr>
              <w:t>1/2</w:t>
            </w:r>
            <w:r>
              <w:rPr>
                <w:rFonts w:ascii="Calibri" w:eastAsia="Times New Roman" w:hAnsi="Calibri" w:cs="Calibri"/>
                <w:b/>
                <w:bCs/>
                <w:color w:val="000000"/>
                <w:sz w:val="20"/>
                <w:szCs w:val="20"/>
              </w:rPr>
              <w:t xml:space="preserve">) </w:t>
            </w:r>
            <w:r w:rsidRPr="00C75FF4">
              <w:rPr>
                <w:rFonts w:ascii="Calibri" w:eastAsia="Times New Roman" w:hAnsi="Calibri" w:cs="Calibri"/>
                <w:b/>
                <w:bCs/>
                <w:color w:val="000000"/>
                <w:sz w:val="20"/>
                <w:szCs w:val="20"/>
              </w:rPr>
              <w:t>&amp; Duration of Effect</w:t>
            </w:r>
          </w:p>
        </w:tc>
        <w:tc>
          <w:tcPr>
            <w:tcW w:w="2932" w:type="dxa"/>
            <w:gridSpan w:val="3"/>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Most Common Indications</w:t>
            </w:r>
          </w:p>
        </w:tc>
        <w:tc>
          <w:tcPr>
            <w:tcW w:w="180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Monitoring Methods</w:t>
            </w:r>
          </w:p>
        </w:tc>
        <w:tc>
          <w:tcPr>
            <w:tcW w:w="297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Strategies for Rapid Reversal and/or Hemostatic Correction</w:t>
            </w:r>
          </w:p>
        </w:tc>
      </w:tr>
      <w:tr w:rsidR="00666296" w:rsidRPr="00C75FF4" w:rsidTr="00EB197C">
        <w:trPr>
          <w:trHeight w:val="288"/>
        </w:trPr>
        <w:tc>
          <w:tcPr>
            <w:tcW w:w="15135" w:type="dxa"/>
            <w:gridSpan w:val="22"/>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666296" w:rsidRPr="00C75FF4" w:rsidRDefault="00666296"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Thrombolytic Agents</w:t>
            </w:r>
          </w:p>
        </w:tc>
      </w:tr>
      <w:tr w:rsidR="00666296" w:rsidRPr="00C75FF4" w:rsidTr="00B74398">
        <w:trPr>
          <w:cantSplit/>
          <w:trHeight w:val="1313"/>
        </w:trPr>
        <w:tc>
          <w:tcPr>
            <w:tcW w:w="644" w:type="dxa"/>
            <w:vMerge w:val="restart"/>
            <w:tcBorders>
              <w:top w:val="nil"/>
              <w:left w:val="single" w:sz="4" w:space="0" w:color="auto"/>
              <w:bottom w:val="single" w:sz="4" w:space="0" w:color="auto"/>
              <w:right w:val="nil"/>
            </w:tcBorders>
            <w:shd w:val="clear" w:color="auto" w:fill="EAF1DD" w:themeFill="accent3" w:themeFillTint="33"/>
            <w:noWrap/>
            <w:textDirection w:val="btLr"/>
            <w:vAlign w:val="center"/>
            <w:hideMark/>
          </w:tcPr>
          <w:p w:rsidR="00666296" w:rsidRPr="00C75FF4" w:rsidRDefault="00666296" w:rsidP="00C75FF4">
            <w:pPr>
              <w:spacing w:after="0" w:line="240" w:lineRule="auto"/>
              <w:jc w:val="center"/>
              <w:rPr>
                <w:rFonts w:ascii="Calibri" w:eastAsia="Times New Roman" w:hAnsi="Calibri" w:cs="Calibri"/>
                <w:color w:val="000000"/>
                <w:sz w:val="20"/>
                <w:szCs w:val="20"/>
              </w:rPr>
            </w:pPr>
            <w:r w:rsidRPr="00C75FF4">
              <w:rPr>
                <w:rFonts w:ascii="Calibri" w:eastAsia="Times New Roman" w:hAnsi="Calibri" w:cs="Calibri"/>
                <w:color w:val="000000"/>
                <w:sz w:val="20"/>
                <w:szCs w:val="20"/>
              </w:rPr>
              <w:t>Tissue Plasminogen Activators</w:t>
            </w:r>
          </w:p>
        </w:tc>
        <w:tc>
          <w:tcPr>
            <w:tcW w:w="271" w:type="dxa"/>
            <w:tcBorders>
              <w:top w:val="nil"/>
              <w:left w:val="nil"/>
              <w:right w:val="single" w:sz="4" w:space="0" w:color="auto"/>
            </w:tcBorders>
            <w:shd w:val="clear" w:color="auto" w:fill="EAF1DD" w:themeFill="accent3" w:themeFillTint="33"/>
            <w:noWrap/>
            <w:textDirection w:val="btLr"/>
            <w:vAlign w:val="bottom"/>
            <w:hideMark/>
          </w:tcPr>
          <w:p w:rsidR="00666296" w:rsidRPr="00893431" w:rsidRDefault="00691457" w:rsidP="00B60136">
            <w:pPr>
              <w:spacing w:after="0" w:line="240" w:lineRule="auto"/>
              <w:ind w:left="113" w:right="113"/>
              <w:jc w:val="center"/>
              <w:rPr>
                <w:rFonts w:ascii="Calibri" w:eastAsia="Times New Roman" w:hAnsi="Calibri" w:cs="Calibri"/>
                <w:color w:val="000000"/>
                <w:sz w:val="20"/>
                <w:szCs w:val="20"/>
              </w:rPr>
            </w:pPr>
            <w:r w:rsidRPr="00893431">
              <w:rPr>
                <w:rFonts w:ascii="Calibri" w:eastAsia="Times New Roman" w:hAnsi="Calibri" w:cs="Calibri"/>
                <w:color w:val="000000"/>
                <w:sz w:val="20"/>
                <w:szCs w:val="20"/>
              </w:rPr>
              <w:t>IV</w:t>
            </w:r>
          </w:p>
        </w:tc>
        <w:tc>
          <w:tcPr>
            <w:tcW w:w="1260" w:type="dxa"/>
            <w:tcBorders>
              <w:top w:val="nil"/>
              <w:left w:val="nil"/>
              <w:bottom w:val="single" w:sz="4" w:space="0" w:color="auto"/>
              <w:right w:val="single" w:sz="4" w:space="0" w:color="auto"/>
            </w:tcBorders>
            <w:shd w:val="clear" w:color="auto" w:fill="auto"/>
            <w:vAlign w:val="bottom"/>
            <w:hideMark/>
          </w:tcPr>
          <w:p w:rsidR="00666296" w:rsidRPr="00893431" w:rsidRDefault="00666296" w:rsidP="00C75FF4">
            <w:pPr>
              <w:spacing w:after="0" w:line="240" w:lineRule="auto"/>
              <w:rPr>
                <w:rFonts w:ascii="Calibri" w:eastAsia="Times New Roman" w:hAnsi="Calibri" w:cs="Calibri"/>
                <w:color w:val="000000"/>
                <w:sz w:val="17"/>
                <w:szCs w:val="17"/>
              </w:rPr>
            </w:pPr>
            <w:r w:rsidRPr="00893431">
              <w:rPr>
                <w:rFonts w:ascii="Calibri" w:eastAsia="Times New Roman" w:hAnsi="Calibri" w:cs="Calibri"/>
                <w:color w:val="000000"/>
                <w:sz w:val="17"/>
                <w:szCs w:val="17"/>
              </w:rPr>
              <w:t>Alteplase (</w:t>
            </w:r>
            <w:proofErr w:type="spellStart"/>
            <w:r w:rsidRPr="00893431">
              <w:rPr>
                <w:rFonts w:ascii="Calibri" w:eastAsia="Times New Roman" w:hAnsi="Calibri" w:cs="Calibri"/>
                <w:color w:val="000000"/>
                <w:sz w:val="17"/>
                <w:szCs w:val="17"/>
              </w:rPr>
              <w:t>Activase</w:t>
            </w:r>
            <w:proofErr w:type="spellEnd"/>
            <w:r w:rsidRPr="00893431">
              <w:rPr>
                <w:rFonts w:ascii="Calibri" w:eastAsia="Times New Roman" w:hAnsi="Calibri" w:cs="Calibri"/>
                <w:color w:val="000000"/>
                <w:sz w:val="17"/>
                <w:szCs w:val="17"/>
              </w:rPr>
              <w:t xml:space="preserve">, </w:t>
            </w:r>
            <w:proofErr w:type="spellStart"/>
            <w:r w:rsidRPr="00893431">
              <w:rPr>
                <w:rFonts w:ascii="Calibri" w:eastAsia="Times New Roman" w:hAnsi="Calibri" w:cs="Calibri"/>
                <w:color w:val="000000"/>
                <w:sz w:val="17"/>
                <w:szCs w:val="17"/>
              </w:rPr>
              <w:t>Cathflo</w:t>
            </w:r>
            <w:proofErr w:type="spellEnd"/>
            <w:r w:rsidRPr="00893431">
              <w:rPr>
                <w:rFonts w:ascii="Calibri" w:eastAsia="Times New Roman" w:hAnsi="Calibri" w:cs="Calibri"/>
                <w:color w:val="000000"/>
                <w:sz w:val="17"/>
                <w:szCs w:val="17"/>
              </w:rPr>
              <w:t>)</w:t>
            </w: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hideMark/>
          </w:tcPr>
          <w:p w:rsidR="00666296"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Tissue Plasminogen activator; initiati</w:t>
            </w:r>
            <w:r>
              <w:rPr>
                <w:rFonts w:ascii="Calibri" w:eastAsia="Times New Roman" w:hAnsi="Calibri" w:cs="Calibri"/>
                <w:color w:val="000000"/>
                <w:sz w:val="17"/>
                <w:szCs w:val="17"/>
              </w:rPr>
              <w:t>v</w:t>
            </w:r>
            <w:r w:rsidRPr="00045487">
              <w:rPr>
                <w:rFonts w:ascii="Calibri" w:eastAsia="Times New Roman" w:hAnsi="Calibri" w:cs="Calibri"/>
                <w:color w:val="000000"/>
                <w:sz w:val="17"/>
                <w:szCs w:val="17"/>
              </w:rPr>
              <w:t>es fibrinolysis by binding to fibrin &amp; converting plasminogen to plasmin</w:t>
            </w:r>
          </w:p>
          <w:p w:rsidR="00666296" w:rsidRDefault="00666296" w:rsidP="00C75FF4">
            <w:pPr>
              <w:spacing w:after="0" w:line="240" w:lineRule="auto"/>
              <w:rPr>
                <w:rFonts w:ascii="Calibri" w:eastAsia="Times New Roman" w:hAnsi="Calibri" w:cs="Calibri"/>
                <w:color w:val="000000"/>
                <w:sz w:val="17"/>
                <w:szCs w:val="17"/>
              </w:rPr>
            </w:pPr>
          </w:p>
          <w:p w:rsidR="00666296"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666296"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 xml:space="preserve">Hepatic and </w:t>
            </w:r>
            <w:proofErr w:type="spellStart"/>
            <w:r w:rsidRPr="00045487">
              <w:rPr>
                <w:rFonts w:ascii="Calibri" w:eastAsia="Times New Roman" w:hAnsi="Calibri" w:cs="Calibri"/>
                <w:color w:val="000000"/>
                <w:sz w:val="17"/>
                <w:szCs w:val="17"/>
              </w:rPr>
              <w:t>inactiviation</w:t>
            </w:r>
            <w:proofErr w:type="spellEnd"/>
            <w:r w:rsidRPr="00045487">
              <w:rPr>
                <w:rFonts w:ascii="Calibri" w:eastAsia="Times New Roman" w:hAnsi="Calibri" w:cs="Calibri"/>
                <w:color w:val="000000"/>
                <w:sz w:val="17"/>
                <w:szCs w:val="17"/>
              </w:rPr>
              <w:t xml:space="preserve"> by plasminogen activator inhibitor-1 (PAI-1)</w:t>
            </w:r>
          </w:p>
          <w:p w:rsidR="00666296"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rsidR="00666296" w:rsidRPr="00045487" w:rsidRDefault="00666296" w:rsidP="009B2740">
            <w:pPr>
              <w:pStyle w:val="ListParagraph"/>
              <w:numPr>
                <w:ilvl w:val="0"/>
                <w:numId w:val="7"/>
              </w:numPr>
              <w:spacing w:after="0" w:line="240" w:lineRule="auto"/>
              <w:ind w:left="360"/>
              <w:rPr>
                <w:rFonts w:ascii="Calibri" w:eastAsia="Times New Roman" w:hAnsi="Calibri" w:cs="Calibri"/>
                <w:color w:val="000000"/>
                <w:sz w:val="17"/>
                <w:szCs w:val="17"/>
              </w:rPr>
            </w:pPr>
            <w:r w:rsidRPr="00045487">
              <w:rPr>
                <w:rFonts w:ascii="Calibri" w:eastAsia="Times New Roman" w:hAnsi="Calibri" w:cs="Calibri"/>
                <w:color w:val="000000"/>
                <w:sz w:val="17"/>
                <w:szCs w:val="17"/>
              </w:rPr>
              <w:t> t</w:t>
            </w:r>
            <w:r w:rsidRPr="00045487">
              <w:rPr>
                <w:rFonts w:ascii="Calibri" w:eastAsia="Times New Roman" w:hAnsi="Calibri" w:cs="Calibri"/>
                <w:color w:val="000000"/>
                <w:sz w:val="17"/>
                <w:szCs w:val="17"/>
                <w:vertAlign w:val="subscript"/>
              </w:rPr>
              <w:t>½</w:t>
            </w:r>
            <w:r w:rsidRPr="00045487">
              <w:rPr>
                <w:rFonts w:ascii="Calibri" w:eastAsia="Times New Roman" w:hAnsi="Calibri" w:cs="Calibri"/>
                <w:color w:val="000000"/>
                <w:sz w:val="17"/>
                <w:szCs w:val="17"/>
              </w:rPr>
              <w:t>: 26 to 46 minutes</w:t>
            </w:r>
          </w:p>
          <w:p w:rsidR="00666296" w:rsidRPr="00045487" w:rsidRDefault="00666296" w:rsidP="009B2740">
            <w:pPr>
              <w:pStyle w:val="ListParagraph"/>
              <w:numPr>
                <w:ilvl w:val="0"/>
                <w:numId w:val="7"/>
              </w:numPr>
              <w:spacing w:after="0" w:line="240" w:lineRule="auto"/>
              <w:ind w:left="360"/>
              <w:rPr>
                <w:rFonts w:ascii="Calibri" w:eastAsia="Times New Roman" w:hAnsi="Calibri" w:cs="Calibri"/>
                <w:color w:val="000000"/>
                <w:sz w:val="17"/>
                <w:szCs w:val="17"/>
              </w:rPr>
            </w:pPr>
            <w:r w:rsidRPr="00045487">
              <w:rPr>
                <w:rFonts w:ascii="Calibri" w:eastAsia="Times New Roman" w:hAnsi="Calibri" w:cs="Calibri"/>
                <w:color w:val="000000"/>
                <w:sz w:val="17"/>
                <w:szCs w:val="17"/>
              </w:rPr>
              <w:t>Duration: not defined</w:t>
            </w:r>
          </w:p>
          <w:p w:rsidR="00666296" w:rsidRDefault="00666296" w:rsidP="000E4D7F">
            <w:pPr>
              <w:spacing w:after="0" w:line="240" w:lineRule="auto"/>
              <w:rPr>
                <w:rFonts w:ascii="Calibri" w:eastAsia="Times New Roman" w:hAnsi="Calibri" w:cs="Calibri"/>
                <w:color w:val="000000"/>
                <w:sz w:val="17"/>
                <w:szCs w:val="17"/>
              </w:rPr>
            </w:pPr>
          </w:p>
          <w:p w:rsidR="00666296" w:rsidRDefault="00666296" w:rsidP="000E4D7F">
            <w:pPr>
              <w:spacing w:after="0" w:line="240" w:lineRule="auto"/>
              <w:rPr>
                <w:rFonts w:ascii="Calibri" w:eastAsia="Times New Roman" w:hAnsi="Calibri" w:cs="Calibri"/>
                <w:color w:val="000000"/>
                <w:sz w:val="17"/>
                <w:szCs w:val="17"/>
              </w:rPr>
            </w:pPr>
          </w:p>
          <w:p w:rsidR="00666296" w:rsidRPr="00045487" w:rsidRDefault="00666296" w:rsidP="000E4D7F">
            <w:pPr>
              <w:spacing w:after="0" w:line="240" w:lineRule="auto"/>
              <w:rPr>
                <w:rFonts w:ascii="Calibri" w:eastAsia="Times New Roman" w:hAnsi="Calibri" w:cs="Calibri"/>
                <w:color w:val="000000"/>
                <w:sz w:val="17"/>
                <w:szCs w:val="17"/>
              </w:rPr>
            </w:pPr>
          </w:p>
          <w:p w:rsidR="00666296" w:rsidRPr="00045487" w:rsidRDefault="00666296" w:rsidP="000E4D7F">
            <w:pPr>
              <w:spacing w:after="0" w:line="240" w:lineRule="auto"/>
              <w:rPr>
                <w:rFonts w:ascii="Calibri" w:eastAsia="Times New Roman" w:hAnsi="Calibri" w:cs="Calibri"/>
                <w:color w:val="000000"/>
                <w:sz w:val="17"/>
                <w:szCs w:val="17"/>
              </w:rPr>
            </w:pP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666296" w:rsidRPr="00005303" w:rsidRDefault="00666296" w:rsidP="00005303">
            <w:pPr>
              <w:spacing w:after="0" w:line="240" w:lineRule="auto"/>
              <w:rPr>
                <w:rFonts w:ascii="Calibri" w:eastAsia="Times New Roman" w:hAnsi="Calibri" w:cs="Calibri"/>
                <w:color w:val="000000"/>
                <w:sz w:val="17"/>
                <w:szCs w:val="17"/>
              </w:rPr>
            </w:pPr>
            <w:r w:rsidRPr="00005303">
              <w:rPr>
                <w:rFonts w:ascii="Calibri" w:eastAsia="Times New Roman" w:hAnsi="Calibri" w:cs="Calibri"/>
                <w:color w:val="000000"/>
                <w:sz w:val="17"/>
                <w:szCs w:val="17"/>
              </w:rPr>
              <w:t>Patients with:</w:t>
            </w:r>
          </w:p>
          <w:p w:rsidR="00666296" w:rsidRDefault="00666296" w:rsidP="0065280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Acute MI</w:t>
            </w:r>
          </w:p>
          <w:p w:rsidR="00666296" w:rsidRDefault="00666296" w:rsidP="0065280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PE</w:t>
            </w:r>
          </w:p>
          <w:p w:rsidR="00666296" w:rsidRDefault="00666296" w:rsidP="0065280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Acute Ischemic Stroke</w:t>
            </w:r>
          </w:p>
          <w:p w:rsidR="00666296" w:rsidRDefault="00666296" w:rsidP="0065280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Arterial Thrombosis Embolism (off label)</w:t>
            </w:r>
          </w:p>
          <w:p w:rsidR="00666296" w:rsidRPr="00652800" w:rsidRDefault="00666296" w:rsidP="0065280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Central Venous Catheter Occlusion</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666296" w:rsidRPr="00045487"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Fibrin split products</w:t>
            </w: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Default="00666296" w:rsidP="00C75FF4">
            <w:pPr>
              <w:spacing w:after="0" w:line="240" w:lineRule="auto"/>
              <w:rPr>
                <w:rFonts w:ascii="Calibri" w:eastAsia="Times New Roman" w:hAnsi="Calibri" w:cs="Calibri"/>
                <w:color w:val="000000"/>
                <w:sz w:val="17"/>
                <w:szCs w:val="17"/>
              </w:rPr>
            </w:pPr>
          </w:p>
          <w:p w:rsidR="00666296"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hideMark/>
          </w:tcPr>
          <w:p w:rsidR="00666296" w:rsidRPr="00045487"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Discontinue agent</w:t>
            </w:r>
          </w:p>
          <w:p w:rsidR="00666296" w:rsidRPr="00045487" w:rsidRDefault="00666296" w:rsidP="00C75FF4">
            <w:pPr>
              <w:spacing w:after="0" w:line="240" w:lineRule="auto"/>
              <w:rPr>
                <w:rFonts w:ascii="Calibri" w:eastAsia="Times New Roman" w:hAnsi="Calibri" w:cs="Calibri"/>
                <w:color w:val="000000"/>
                <w:sz w:val="17"/>
                <w:szCs w:val="17"/>
              </w:rPr>
            </w:pPr>
          </w:p>
          <w:p w:rsidR="00666296" w:rsidRDefault="00666296" w:rsidP="00C75FF4">
            <w:pPr>
              <w:spacing w:after="0" w:line="240" w:lineRule="auto"/>
              <w:rPr>
                <w:rFonts w:ascii="Calibri" w:eastAsia="Times New Roman" w:hAnsi="Calibri" w:cs="Calibri"/>
                <w:color w:val="000000"/>
                <w:sz w:val="17"/>
                <w:szCs w:val="17"/>
              </w:rPr>
            </w:pPr>
          </w:p>
          <w:p w:rsidR="00666296"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r>
      <w:tr w:rsidR="00666296" w:rsidRPr="00C75FF4" w:rsidTr="00B74398">
        <w:trPr>
          <w:cantSplit/>
          <w:trHeight w:val="1520"/>
        </w:trPr>
        <w:tc>
          <w:tcPr>
            <w:tcW w:w="644" w:type="dxa"/>
            <w:vMerge/>
            <w:tcBorders>
              <w:top w:val="single" w:sz="4" w:space="0" w:color="000000"/>
              <w:left w:val="single" w:sz="4" w:space="0" w:color="auto"/>
              <w:bottom w:val="single" w:sz="4" w:space="0" w:color="auto"/>
              <w:right w:val="nil"/>
            </w:tcBorders>
            <w:shd w:val="clear" w:color="auto" w:fill="EAF1DD" w:themeFill="accent3" w:themeFillTint="33"/>
            <w:vAlign w:val="center"/>
            <w:hideMark/>
          </w:tcPr>
          <w:p w:rsidR="00666296" w:rsidRPr="00C75FF4" w:rsidRDefault="00666296" w:rsidP="00C75FF4">
            <w:pPr>
              <w:spacing w:after="0" w:line="240" w:lineRule="auto"/>
              <w:rPr>
                <w:rFonts w:ascii="Calibri" w:eastAsia="Times New Roman" w:hAnsi="Calibri" w:cs="Calibri"/>
                <w:color w:val="000000"/>
                <w:sz w:val="20"/>
                <w:szCs w:val="20"/>
              </w:rPr>
            </w:pPr>
          </w:p>
        </w:tc>
        <w:tc>
          <w:tcPr>
            <w:tcW w:w="271" w:type="dxa"/>
            <w:tcBorders>
              <w:top w:val="nil"/>
              <w:left w:val="nil"/>
              <w:bottom w:val="single" w:sz="4" w:space="0" w:color="auto"/>
              <w:right w:val="single" w:sz="4" w:space="0" w:color="auto"/>
            </w:tcBorders>
            <w:shd w:val="clear" w:color="auto" w:fill="EAF1DD" w:themeFill="accent3" w:themeFillTint="33"/>
            <w:noWrap/>
            <w:textDirection w:val="btLr"/>
            <w:vAlign w:val="bottom"/>
            <w:hideMark/>
          </w:tcPr>
          <w:p w:rsidR="00666296" w:rsidRPr="00893431" w:rsidRDefault="00691457" w:rsidP="00B60136">
            <w:pPr>
              <w:spacing w:after="0" w:line="240" w:lineRule="auto"/>
              <w:ind w:left="113" w:right="113"/>
              <w:jc w:val="center"/>
              <w:rPr>
                <w:rFonts w:ascii="Calibri" w:eastAsia="Times New Roman" w:hAnsi="Calibri" w:cs="Calibri"/>
                <w:color w:val="000000"/>
                <w:sz w:val="20"/>
                <w:szCs w:val="20"/>
              </w:rPr>
            </w:pPr>
            <w:r w:rsidRPr="00893431">
              <w:rPr>
                <w:rFonts w:ascii="Calibri" w:eastAsia="Times New Roman" w:hAnsi="Calibri" w:cs="Calibri"/>
                <w:color w:val="000000"/>
                <w:sz w:val="20"/>
                <w:szCs w:val="20"/>
              </w:rPr>
              <w:t>IV</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66296" w:rsidRPr="00893431" w:rsidRDefault="00666296" w:rsidP="00C75FF4">
            <w:pPr>
              <w:spacing w:after="0" w:line="240" w:lineRule="auto"/>
              <w:rPr>
                <w:rFonts w:ascii="Calibri" w:eastAsia="Times New Roman" w:hAnsi="Calibri" w:cs="Calibri"/>
                <w:color w:val="000000"/>
                <w:sz w:val="17"/>
                <w:szCs w:val="17"/>
              </w:rPr>
            </w:pPr>
            <w:proofErr w:type="spellStart"/>
            <w:r w:rsidRPr="00893431">
              <w:rPr>
                <w:rFonts w:ascii="Calibri" w:eastAsia="Times New Roman" w:hAnsi="Calibri" w:cs="Calibri"/>
                <w:color w:val="000000"/>
                <w:sz w:val="17"/>
                <w:szCs w:val="17"/>
              </w:rPr>
              <w:t>Tenecteplase</w:t>
            </w:r>
            <w:proofErr w:type="spellEnd"/>
            <w:r w:rsidRPr="00893431">
              <w:rPr>
                <w:rFonts w:ascii="Calibri" w:eastAsia="Times New Roman" w:hAnsi="Calibri" w:cs="Calibri"/>
                <w:color w:val="000000"/>
                <w:sz w:val="17"/>
                <w:szCs w:val="17"/>
              </w:rPr>
              <w:t xml:space="preserve"> (</w:t>
            </w:r>
            <w:proofErr w:type="spellStart"/>
            <w:r w:rsidRPr="00893431">
              <w:rPr>
                <w:rFonts w:ascii="Calibri" w:eastAsia="Times New Roman" w:hAnsi="Calibri" w:cs="Calibri"/>
                <w:color w:val="000000"/>
                <w:sz w:val="17"/>
                <w:szCs w:val="17"/>
              </w:rPr>
              <w:t>TNKase</w:t>
            </w:r>
            <w:proofErr w:type="spellEnd"/>
            <w:r w:rsidRPr="00893431">
              <w:rPr>
                <w:rFonts w:ascii="Calibri" w:eastAsia="Times New Roman" w:hAnsi="Calibri" w:cs="Calibri"/>
                <w:color w:val="000000"/>
                <w:sz w:val="17"/>
                <w:szCs w:val="17"/>
              </w:rPr>
              <w:t>)</w:t>
            </w: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p w:rsidR="00666296" w:rsidRPr="00893431" w:rsidRDefault="00666296" w:rsidP="00C75FF4">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vAlign w:val="bottom"/>
            <w:hideMark/>
          </w:tcPr>
          <w:p w:rsidR="00666296" w:rsidRPr="00045487"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 xml:space="preserve">A derivative of </w:t>
            </w:r>
            <w:proofErr w:type="spellStart"/>
            <w:r w:rsidRPr="00045487">
              <w:rPr>
                <w:rFonts w:ascii="Calibri" w:eastAsia="Times New Roman" w:hAnsi="Calibri" w:cs="Calibri"/>
                <w:color w:val="000000"/>
                <w:sz w:val="17"/>
                <w:szCs w:val="17"/>
              </w:rPr>
              <w:t>activase</w:t>
            </w:r>
            <w:proofErr w:type="spellEnd"/>
            <w:r w:rsidRPr="00045487">
              <w:rPr>
                <w:rFonts w:ascii="Calibri" w:eastAsia="Times New Roman" w:hAnsi="Calibri" w:cs="Calibri"/>
                <w:color w:val="000000"/>
                <w:sz w:val="17"/>
                <w:szCs w:val="17"/>
              </w:rPr>
              <w:t xml:space="preserve"> with longer activity, greater affinity for thrombin and less susceptibility to PAI-1</w:t>
            </w: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66296" w:rsidRPr="00045487"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Hepatic and PAI-1</w:t>
            </w: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66296" w:rsidRPr="00045487" w:rsidRDefault="00666296" w:rsidP="009B2740">
            <w:pPr>
              <w:pStyle w:val="ListParagraph"/>
              <w:numPr>
                <w:ilvl w:val="0"/>
                <w:numId w:val="7"/>
              </w:numPr>
              <w:spacing w:after="0" w:line="240" w:lineRule="auto"/>
              <w:ind w:left="360"/>
              <w:rPr>
                <w:rFonts w:ascii="Calibri" w:eastAsia="Times New Roman" w:hAnsi="Calibri" w:cs="Calibri"/>
                <w:color w:val="000000"/>
                <w:sz w:val="17"/>
                <w:szCs w:val="17"/>
              </w:rPr>
            </w:pPr>
            <w:r w:rsidRPr="00045487">
              <w:rPr>
                <w:rFonts w:ascii="Calibri" w:eastAsia="Times New Roman" w:hAnsi="Calibri" w:cs="Calibri"/>
                <w:color w:val="000000"/>
                <w:sz w:val="17"/>
                <w:szCs w:val="17"/>
              </w:rPr>
              <w:t> t</w:t>
            </w:r>
            <w:r w:rsidRPr="00045487">
              <w:rPr>
                <w:rFonts w:ascii="Calibri" w:eastAsia="Times New Roman" w:hAnsi="Calibri" w:cs="Calibri"/>
                <w:color w:val="000000"/>
                <w:sz w:val="17"/>
                <w:szCs w:val="17"/>
                <w:vertAlign w:val="subscript"/>
              </w:rPr>
              <w:t>½</w:t>
            </w:r>
            <w:r w:rsidRPr="00045487">
              <w:rPr>
                <w:rFonts w:ascii="Calibri" w:eastAsia="Times New Roman" w:hAnsi="Calibri" w:cs="Calibri"/>
                <w:color w:val="000000"/>
                <w:sz w:val="17"/>
                <w:szCs w:val="17"/>
              </w:rPr>
              <w:t>: biphasic: 20-40 minutes and 115 minutes respectively</w:t>
            </w:r>
          </w:p>
          <w:p w:rsidR="00666296" w:rsidRPr="00045487" w:rsidRDefault="00666296" w:rsidP="009B2740">
            <w:pPr>
              <w:pStyle w:val="ListParagraph"/>
              <w:numPr>
                <w:ilvl w:val="0"/>
                <w:numId w:val="7"/>
              </w:numPr>
              <w:spacing w:after="0" w:line="240" w:lineRule="auto"/>
              <w:ind w:left="360"/>
              <w:rPr>
                <w:rFonts w:ascii="Calibri" w:eastAsia="Times New Roman" w:hAnsi="Calibri" w:cs="Calibri"/>
                <w:color w:val="000000"/>
                <w:sz w:val="17"/>
                <w:szCs w:val="17"/>
              </w:rPr>
            </w:pPr>
            <w:r w:rsidRPr="00045487">
              <w:rPr>
                <w:rFonts w:ascii="Calibri" w:eastAsia="Times New Roman" w:hAnsi="Calibri" w:cs="Calibri"/>
                <w:color w:val="000000"/>
                <w:sz w:val="17"/>
                <w:szCs w:val="17"/>
              </w:rPr>
              <w:t>Duration: data lacking for humans</w:t>
            </w: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66296" w:rsidRDefault="00666296" w:rsidP="00C75FF4">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Patients with:</w:t>
            </w:r>
          </w:p>
          <w:p w:rsidR="00666296" w:rsidRDefault="00666296" w:rsidP="00005303">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Hemodialysis Catheter Occlusion</w:t>
            </w:r>
          </w:p>
          <w:p w:rsidR="00666296" w:rsidRDefault="00666296" w:rsidP="00005303">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Acute MI</w:t>
            </w:r>
          </w:p>
          <w:p w:rsidR="00666296" w:rsidRDefault="00666296" w:rsidP="00005303">
            <w:pPr>
              <w:spacing w:after="0" w:line="240" w:lineRule="auto"/>
              <w:rPr>
                <w:rFonts w:ascii="Calibri" w:eastAsia="Times New Roman" w:hAnsi="Calibri" w:cs="Calibri"/>
                <w:color w:val="000000"/>
                <w:sz w:val="17"/>
                <w:szCs w:val="17"/>
              </w:rPr>
            </w:pPr>
          </w:p>
          <w:p w:rsidR="00666296" w:rsidRDefault="00666296" w:rsidP="00005303">
            <w:pPr>
              <w:spacing w:after="0" w:line="240" w:lineRule="auto"/>
              <w:rPr>
                <w:rFonts w:ascii="Calibri" w:eastAsia="Times New Roman" w:hAnsi="Calibri" w:cs="Calibri"/>
                <w:color w:val="000000"/>
                <w:sz w:val="17"/>
                <w:szCs w:val="17"/>
              </w:rPr>
            </w:pPr>
          </w:p>
          <w:p w:rsidR="00666296" w:rsidRPr="00005303" w:rsidRDefault="00666296" w:rsidP="00005303">
            <w:pPr>
              <w:spacing w:after="0" w:line="240" w:lineRule="auto"/>
              <w:rPr>
                <w:rFonts w:ascii="Calibri" w:eastAsia="Times New Roman" w:hAnsi="Calibri" w:cs="Calibri"/>
                <w:color w:val="000000"/>
                <w:sz w:val="17"/>
                <w:szCs w:val="17"/>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rsidR="00666296" w:rsidRPr="00045487"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Fibrin split products</w:t>
            </w: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6296" w:rsidRPr="00045487" w:rsidRDefault="00666296" w:rsidP="00C75FF4">
            <w:pPr>
              <w:spacing w:after="0" w:line="240" w:lineRule="auto"/>
              <w:rPr>
                <w:rFonts w:ascii="Calibri" w:eastAsia="Times New Roman" w:hAnsi="Calibri" w:cs="Calibri"/>
                <w:color w:val="000000"/>
                <w:sz w:val="17"/>
                <w:szCs w:val="17"/>
              </w:rPr>
            </w:pPr>
            <w:r w:rsidRPr="00045487">
              <w:rPr>
                <w:rFonts w:ascii="Calibri" w:eastAsia="Times New Roman" w:hAnsi="Calibri" w:cs="Calibri"/>
                <w:color w:val="000000"/>
                <w:sz w:val="17"/>
                <w:szCs w:val="17"/>
              </w:rPr>
              <w:t>Discontinue agent</w:t>
            </w: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p w:rsidR="00666296" w:rsidRPr="00045487" w:rsidRDefault="00666296" w:rsidP="00C75FF4">
            <w:pPr>
              <w:spacing w:after="0" w:line="240" w:lineRule="auto"/>
              <w:rPr>
                <w:rFonts w:ascii="Calibri" w:eastAsia="Times New Roman" w:hAnsi="Calibri" w:cs="Calibri"/>
                <w:color w:val="000000"/>
                <w:sz w:val="17"/>
                <w:szCs w:val="17"/>
              </w:rPr>
            </w:pPr>
          </w:p>
        </w:tc>
      </w:tr>
      <w:tr w:rsidR="00666296" w:rsidRPr="00C75FF4" w:rsidTr="002D0A8E">
        <w:trPr>
          <w:trHeight w:val="837"/>
        </w:trPr>
        <w:tc>
          <w:tcPr>
            <w:tcW w:w="644" w:type="dxa"/>
            <w:tcBorders>
              <w:top w:val="single" w:sz="4" w:space="0" w:color="auto"/>
              <w:left w:val="single" w:sz="4" w:space="0" w:color="auto"/>
              <w:bottom w:val="single" w:sz="4" w:space="0" w:color="auto"/>
            </w:tcBorders>
            <w:vAlign w:val="center"/>
          </w:tcPr>
          <w:p w:rsidR="00666296" w:rsidRPr="00C75FF4" w:rsidRDefault="00666296" w:rsidP="00C75FF4">
            <w:pPr>
              <w:spacing w:after="0" w:line="240" w:lineRule="auto"/>
              <w:rPr>
                <w:rFonts w:ascii="Calibri" w:eastAsia="Times New Roman" w:hAnsi="Calibri" w:cs="Calibri"/>
                <w:color w:val="000000"/>
                <w:sz w:val="20"/>
                <w:szCs w:val="20"/>
              </w:rPr>
            </w:pPr>
          </w:p>
        </w:tc>
        <w:tc>
          <w:tcPr>
            <w:tcW w:w="271" w:type="dxa"/>
            <w:tcBorders>
              <w:top w:val="single" w:sz="4" w:space="0" w:color="auto"/>
              <w:bottom w:val="single" w:sz="4" w:space="0" w:color="auto"/>
            </w:tcBorders>
            <w:shd w:val="clear" w:color="auto" w:fill="auto"/>
            <w:noWrap/>
            <w:vAlign w:val="bottom"/>
          </w:tcPr>
          <w:p w:rsidR="00666296" w:rsidRPr="00C75FF4" w:rsidRDefault="00666296" w:rsidP="00C75FF4">
            <w:pPr>
              <w:spacing w:after="0" w:line="240" w:lineRule="auto"/>
              <w:rPr>
                <w:rFonts w:ascii="Calibri" w:eastAsia="Times New Roman" w:hAnsi="Calibri" w:cs="Calibri"/>
                <w:color w:val="000000"/>
                <w:sz w:val="20"/>
                <w:szCs w:val="20"/>
              </w:rPr>
            </w:pPr>
          </w:p>
        </w:tc>
        <w:tc>
          <w:tcPr>
            <w:tcW w:w="5040" w:type="dxa"/>
            <w:gridSpan w:val="8"/>
            <w:tcBorders>
              <w:top w:val="single" w:sz="4" w:space="0" w:color="auto"/>
              <w:bottom w:val="single" w:sz="4" w:space="0" w:color="auto"/>
            </w:tcBorders>
            <w:shd w:val="clear" w:color="auto" w:fill="auto"/>
            <w:vAlign w:val="bottom"/>
          </w:tcPr>
          <w:p w:rsidR="00666296" w:rsidRPr="00BB0999" w:rsidRDefault="00666296" w:rsidP="00C75FF4">
            <w:pPr>
              <w:spacing w:after="0" w:line="240" w:lineRule="auto"/>
              <w:rPr>
                <w:rFonts w:ascii="Calibri" w:eastAsia="Times New Roman" w:hAnsi="Calibri" w:cs="Calibri"/>
                <w:color w:val="000000"/>
                <w:sz w:val="17"/>
                <w:szCs w:val="17"/>
              </w:rPr>
            </w:pPr>
            <w:r w:rsidRPr="00BB0999">
              <w:rPr>
                <w:rFonts w:ascii="Calibri" w:eastAsia="Times New Roman" w:hAnsi="Calibri" w:cs="Calibri"/>
                <w:color w:val="000000"/>
                <w:sz w:val="17"/>
                <w:szCs w:val="17"/>
              </w:rPr>
              <w:t>Notes:</w:t>
            </w:r>
          </w:p>
          <w:p w:rsidR="00666296" w:rsidRPr="002D0A8E" w:rsidRDefault="002D0A8E" w:rsidP="002D0A8E">
            <w:pPr>
              <w:pStyle w:val="ListParagraph"/>
              <w:numPr>
                <w:ilvl w:val="0"/>
                <w:numId w:val="11"/>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w:t>
            </w:r>
            <w:r w:rsidRPr="002D0A8E">
              <w:rPr>
                <w:rFonts w:ascii="Calibri" w:eastAsia="Times New Roman" w:hAnsi="Calibri" w:cs="Calibri"/>
                <w:color w:val="000000"/>
                <w:sz w:val="17"/>
                <w:szCs w:val="17"/>
              </w:rPr>
              <w:t xml:space="preserve">ossible competitive interaction with </w:t>
            </w:r>
            <w:proofErr w:type="spellStart"/>
            <w:r w:rsidRPr="002D0A8E">
              <w:rPr>
                <w:rFonts w:ascii="Calibri" w:eastAsia="Times New Roman" w:hAnsi="Calibri" w:cs="Calibri"/>
                <w:color w:val="000000"/>
                <w:sz w:val="17"/>
                <w:szCs w:val="17"/>
              </w:rPr>
              <w:t>ppi</w:t>
            </w:r>
            <w:proofErr w:type="spellEnd"/>
            <w:r w:rsidRPr="002D0A8E">
              <w:rPr>
                <w:rFonts w:ascii="Calibri" w:eastAsia="Times New Roman" w:hAnsi="Calibri" w:cs="Calibri"/>
                <w:color w:val="000000"/>
                <w:sz w:val="17"/>
                <w:szCs w:val="17"/>
              </w:rPr>
              <w:t xml:space="preserve"> and/or statin therapy and </w:t>
            </w:r>
            <w:proofErr w:type="spellStart"/>
            <w:r w:rsidRPr="002D0A8E">
              <w:rPr>
                <w:rFonts w:ascii="Calibri" w:eastAsia="Times New Roman" w:hAnsi="Calibri" w:cs="Calibri"/>
                <w:color w:val="000000"/>
                <w:sz w:val="17"/>
                <w:szCs w:val="17"/>
              </w:rPr>
              <w:t>pletal</w:t>
            </w:r>
            <w:proofErr w:type="spellEnd"/>
          </w:p>
          <w:p w:rsidR="00666296" w:rsidRPr="00BB0999" w:rsidRDefault="00666296" w:rsidP="00C75FF4">
            <w:pPr>
              <w:spacing w:after="0" w:line="240" w:lineRule="auto"/>
              <w:rPr>
                <w:rFonts w:ascii="Calibri" w:eastAsia="Times New Roman" w:hAnsi="Calibri" w:cs="Calibri"/>
                <w:color w:val="000000"/>
                <w:sz w:val="17"/>
                <w:szCs w:val="17"/>
              </w:rPr>
            </w:pPr>
          </w:p>
        </w:tc>
        <w:tc>
          <w:tcPr>
            <w:tcW w:w="540" w:type="dxa"/>
            <w:tcBorders>
              <w:top w:val="single" w:sz="4" w:space="0" w:color="auto"/>
              <w:bottom w:val="single" w:sz="4" w:space="0" w:color="auto"/>
            </w:tcBorders>
            <w:shd w:val="clear" w:color="auto" w:fill="auto"/>
            <w:vAlign w:val="bottom"/>
          </w:tcPr>
          <w:p w:rsidR="00666296" w:rsidRPr="00045487" w:rsidRDefault="00666296" w:rsidP="002D0A8E">
            <w:pPr>
              <w:spacing w:after="0" w:line="240" w:lineRule="auto"/>
              <w:rPr>
                <w:rFonts w:ascii="Calibri" w:eastAsia="Times New Roman" w:hAnsi="Calibri" w:cs="Calibri"/>
                <w:color w:val="000000"/>
                <w:sz w:val="17"/>
                <w:szCs w:val="17"/>
              </w:rPr>
            </w:pPr>
          </w:p>
        </w:tc>
        <w:tc>
          <w:tcPr>
            <w:tcW w:w="450" w:type="dxa"/>
            <w:tcBorders>
              <w:top w:val="single" w:sz="4" w:space="0" w:color="auto"/>
              <w:bottom w:val="single" w:sz="4" w:space="0" w:color="auto"/>
            </w:tcBorders>
            <w:shd w:val="clear" w:color="auto" w:fill="auto"/>
            <w:noWrap/>
            <w:vAlign w:val="bottom"/>
          </w:tcPr>
          <w:p w:rsidR="00666296" w:rsidRPr="00045487" w:rsidRDefault="00666296" w:rsidP="00C75FF4">
            <w:pPr>
              <w:spacing w:after="0" w:line="240" w:lineRule="auto"/>
              <w:rPr>
                <w:rFonts w:ascii="Calibri" w:eastAsia="Times New Roman" w:hAnsi="Calibri" w:cs="Calibri"/>
                <w:color w:val="000000"/>
                <w:sz w:val="17"/>
                <w:szCs w:val="17"/>
              </w:rPr>
            </w:pPr>
          </w:p>
        </w:tc>
        <w:tc>
          <w:tcPr>
            <w:tcW w:w="450" w:type="dxa"/>
            <w:gridSpan w:val="2"/>
            <w:tcBorders>
              <w:top w:val="single" w:sz="4" w:space="0" w:color="auto"/>
              <w:bottom w:val="single" w:sz="4" w:space="0" w:color="auto"/>
            </w:tcBorders>
            <w:shd w:val="clear" w:color="auto" w:fill="auto"/>
            <w:noWrap/>
            <w:vAlign w:val="bottom"/>
          </w:tcPr>
          <w:p w:rsidR="00666296" w:rsidRPr="00045487" w:rsidRDefault="00666296" w:rsidP="00F006A9">
            <w:pPr>
              <w:pStyle w:val="ListParagraph"/>
              <w:spacing w:after="0" w:line="240" w:lineRule="auto"/>
              <w:ind w:left="360"/>
              <w:rPr>
                <w:rFonts w:ascii="Calibri" w:eastAsia="Times New Roman" w:hAnsi="Calibri" w:cs="Calibri"/>
                <w:color w:val="000000"/>
                <w:sz w:val="17"/>
                <w:szCs w:val="17"/>
              </w:rPr>
            </w:pPr>
          </w:p>
        </w:tc>
        <w:tc>
          <w:tcPr>
            <w:tcW w:w="2970" w:type="dxa"/>
            <w:gridSpan w:val="4"/>
            <w:tcBorders>
              <w:top w:val="single" w:sz="4" w:space="0" w:color="auto"/>
              <w:bottom w:val="single" w:sz="4" w:space="0" w:color="auto"/>
            </w:tcBorders>
            <w:shd w:val="clear" w:color="auto" w:fill="auto"/>
            <w:noWrap/>
            <w:vAlign w:val="bottom"/>
          </w:tcPr>
          <w:p w:rsidR="00666296" w:rsidRPr="00045487" w:rsidRDefault="00666296" w:rsidP="00C75FF4">
            <w:pPr>
              <w:spacing w:after="0" w:line="240" w:lineRule="auto"/>
              <w:rPr>
                <w:rFonts w:ascii="Calibri" w:eastAsia="Times New Roman" w:hAnsi="Calibri" w:cs="Calibri"/>
                <w:color w:val="000000"/>
                <w:sz w:val="17"/>
                <w:szCs w:val="17"/>
              </w:rPr>
            </w:pPr>
          </w:p>
        </w:tc>
        <w:tc>
          <w:tcPr>
            <w:tcW w:w="1890" w:type="dxa"/>
            <w:gridSpan w:val="3"/>
            <w:tcBorders>
              <w:top w:val="single" w:sz="4" w:space="0" w:color="auto"/>
              <w:bottom w:val="single" w:sz="4" w:space="0" w:color="auto"/>
            </w:tcBorders>
            <w:shd w:val="clear" w:color="auto" w:fill="auto"/>
            <w:noWrap/>
            <w:vAlign w:val="bottom"/>
          </w:tcPr>
          <w:p w:rsidR="00666296" w:rsidRPr="00045487" w:rsidRDefault="00666296" w:rsidP="00C75FF4">
            <w:pPr>
              <w:spacing w:after="0" w:line="240" w:lineRule="auto"/>
              <w:rPr>
                <w:rFonts w:ascii="Calibri" w:eastAsia="Times New Roman" w:hAnsi="Calibri" w:cs="Calibri"/>
                <w:color w:val="000000"/>
                <w:sz w:val="17"/>
                <w:szCs w:val="17"/>
              </w:rPr>
            </w:pPr>
          </w:p>
        </w:tc>
        <w:tc>
          <w:tcPr>
            <w:tcW w:w="2880" w:type="dxa"/>
            <w:tcBorders>
              <w:top w:val="single" w:sz="4" w:space="0" w:color="auto"/>
              <w:bottom w:val="single" w:sz="4" w:space="0" w:color="auto"/>
              <w:right w:val="single" w:sz="4" w:space="0" w:color="auto"/>
            </w:tcBorders>
            <w:shd w:val="clear" w:color="auto" w:fill="auto"/>
            <w:noWrap/>
            <w:vAlign w:val="bottom"/>
          </w:tcPr>
          <w:p w:rsidR="00666296" w:rsidRPr="00045487" w:rsidRDefault="00666296" w:rsidP="00C75FF4">
            <w:pPr>
              <w:spacing w:after="0" w:line="240" w:lineRule="auto"/>
              <w:rPr>
                <w:rFonts w:ascii="Calibri" w:eastAsia="Times New Roman" w:hAnsi="Calibri" w:cs="Calibri"/>
                <w:color w:val="000000"/>
                <w:sz w:val="17"/>
                <w:szCs w:val="17"/>
              </w:rPr>
            </w:pPr>
          </w:p>
        </w:tc>
      </w:tr>
    </w:tbl>
    <w:p w:rsidR="002D0A8E" w:rsidRDefault="002D0A8E">
      <w:pPr>
        <w:rPr>
          <w:sz w:val="20"/>
          <w:szCs w:val="20"/>
        </w:rPr>
      </w:pPr>
    </w:p>
    <w:p w:rsidR="002D0A8E" w:rsidRDefault="002D0A8E">
      <w:pPr>
        <w:rPr>
          <w:sz w:val="20"/>
          <w:szCs w:val="20"/>
        </w:rPr>
      </w:pPr>
      <w:r>
        <w:rPr>
          <w:sz w:val="20"/>
          <w:szCs w:val="20"/>
        </w:rPr>
        <w:br w:type="page"/>
      </w:r>
    </w:p>
    <w:tbl>
      <w:tblPr>
        <w:tblW w:w="15135" w:type="dxa"/>
        <w:tblInd w:w="93" w:type="dxa"/>
        <w:tblLayout w:type="fixed"/>
        <w:tblLook w:val="04A0" w:firstRow="1" w:lastRow="0" w:firstColumn="1" w:lastColumn="0" w:noHBand="0" w:noVBand="1"/>
      </w:tblPr>
      <w:tblGrid>
        <w:gridCol w:w="465"/>
        <w:gridCol w:w="179"/>
        <w:gridCol w:w="271"/>
        <w:gridCol w:w="1260"/>
        <w:gridCol w:w="72"/>
        <w:gridCol w:w="1890"/>
        <w:gridCol w:w="18"/>
        <w:gridCol w:w="1422"/>
        <w:gridCol w:w="18"/>
        <w:gridCol w:w="1800"/>
        <w:gridCol w:w="38"/>
        <w:gridCol w:w="2932"/>
        <w:gridCol w:w="1800"/>
        <w:gridCol w:w="90"/>
        <w:gridCol w:w="2880"/>
      </w:tblGrid>
      <w:tr w:rsidR="005B7380" w:rsidRPr="00C75FF4" w:rsidTr="00B74398">
        <w:trPr>
          <w:trHeight w:val="665"/>
        </w:trPr>
        <w:tc>
          <w:tcPr>
            <w:tcW w:w="644" w:type="dxa"/>
            <w:gridSpan w:val="2"/>
            <w:tcBorders>
              <w:top w:val="single" w:sz="4" w:space="0" w:color="auto"/>
              <w:left w:val="single" w:sz="4" w:space="0" w:color="auto"/>
              <w:bottom w:val="single" w:sz="8" w:space="0" w:color="auto"/>
              <w:right w:val="nil"/>
            </w:tcBorders>
            <w:shd w:val="clear" w:color="auto" w:fill="D6E3BC" w:themeFill="accent3" w:themeFillTint="66"/>
            <w:noWrap/>
            <w:vAlign w:val="bottom"/>
            <w:hideMark/>
          </w:tcPr>
          <w:p w:rsidR="005B7380" w:rsidRPr="00C75FF4" w:rsidRDefault="005B7380" w:rsidP="005F66EF">
            <w:pPr>
              <w:spacing w:after="0" w:line="240" w:lineRule="auto"/>
              <w:jc w:val="right"/>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lastRenderedPageBreak/>
              <w:t>Class</w:t>
            </w:r>
          </w:p>
        </w:tc>
        <w:tc>
          <w:tcPr>
            <w:tcW w:w="271"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right"/>
              <w:rPr>
                <w:rFonts w:ascii="Calibri" w:eastAsia="Times New Roman" w:hAnsi="Calibri" w:cs="Calibri"/>
                <w:b/>
                <w:bCs/>
                <w:color w:val="000000"/>
                <w:sz w:val="20"/>
                <w:szCs w:val="20"/>
              </w:rPr>
            </w:pPr>
          </w:p>
        </w:tc>
        <w:tc>
          <w:tcPr>
            <w:tcW w:w="1332" w:type="dxa"/>
            <w:gridSpan w:val="2"/>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Agent</w:t>
            </w:r>
          </w:p>
        </w:tc>
        <w:tc>
          <w:tcPr>
            <w:tcW w:w="1890" w:type="dxa"/>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Mechanism</w:t>
            </w:r>
          </w:p>
        </w:tc>
        <w:tc>
          <w:tcPr>
            <w:tcW w:w="1440" w:type="dxa"/>
            <w:gridSpan w:val="2"/>
            <w:tcBorders>
              <w:top w:val="single" w:sz="4" w:space="0" w:color="auto"/>
              <w:left w:val="nil"/>
              <w:bottom w:val="single" w:sz="8" w:space="0" w:color="auto"/>
              <w:right w:val="single" w:sz="4" w:space="0" w:color="auto"/>
            </w:tcBorders>
            <w:shd w:val="clear" w:color="auto" w:fill="D6E3BC" w:themeFill="accent3" w:themeFillTint="66"/>
            <w:noWrap/>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Clearance</w:t>
            </w:r>
          </w:p>
        </w:tc>
        <w:tc>
          <w:tcPr>
            <w:tcW w:w="1856" w:type="dxa"/>
            <w:gridSpan w:val="3"/>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Usual Half Lif</w:t>
            </w:r>
            <w:r w:rsidRPr="00C75FF4">
              <w:rPr>
                <w:rFonts w:ascii="Calibri" w:eastAsia="Times New Roman" w:hAnsi="Calibri" w:cs="Calibri"/>
                <w:b/>
                <w:bCs/>
                <w:color w:val="000000"/>
                <w:sz w:val="20"/>
                <w:szCs w:val="20"/>
              </w:rPr>
              <w:t xml:space="preserve">e </w:t>
            </w:r>
            <w:r>
              <w:rPr>
                <w:rFonts w:ascii="Calibri" w:eastAsia="Times New Roman" w:hAnsi="Calibri" w:cs="Calibri"/>
                <w:b/>
                <w:bCs/>
                <w:color w:val="000000"/>
                <w:sz w:val="20"/>
                <w:szCs w:val="20"/>
              </w:rPr>
              <w:t>(t</w:t>
            </w:r>
            <w:r w:rsidRPr="00480F91">
              <w:rPr>
                <w:rFonts w:ascii="Calibri" w:eastAsia="Times New Roman" w:hAnsi="Calibri" w:cs="Calibri"/>
                <w:b/>
                <w:bCs/>
                <w:color w:val="000000"/>
                <w:sz w:val="20"/>
                <w:szCs w:val="20"/>
                <w:vertAlign w:val="subscript"/>
              </w:rPr>
              <w:t>1/2</w:t>
            </w:r>
            <w:r>
              <w:rPr>
                <w:rFonts w:ascii="Calibri" w:eastAsia="Times New Roman" w:hAnsi="Calibri" w:cs="Calibri"/>
                <w:b/>
                <w:bCs/>
                <w:color w:val="000000"/>
                <w:sz w:val="20"/>
                <w:szCs w:val="20"/>
              </w:rPr>
              <w:t xml:space="preserve">) </w:t>
            </w:r>
            <w:r w:rsidRPr="00C75FF4">
              <w:rPr>
                <w:rFonts w:ascii="Calibri" w:eastAsia="Times New Roman" w:hAnsi="Calibri" w:cs="Calibri"/>
                <w:b/>
                <w:bCs/>
                <w:color w:val="000000"/>
                <w:sz w:val="20"/>
                <w:szCs w:val="20"/>
              </w:rPr>
              <w:t>&amp; Duration of Effect</w:t>
            </w:r>
          </w:p>
        </w:tc>
        <w:tc>
          <w:tcPr>
            <w:tcW w:w="2932" w:type="dxa"/>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Most Common Indications</w:t>
            </w:r>
          </w:p>
        </w:tc>
        <w:tc>
          <w:tcPr>
            <w:tcW w:w="1800" w:type="dxa"/>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Monitoring Methods</w:t>
            </w:r>
          </w:p>
        </w:tc>
        <w:tc>
          <w:tcPr>
            <w:tcW w:w="2970" w:type="dxa"/>
            <w:gridSpan w:val="2"/>
            <w:tcBorders>
              <w:top w:val="single" w:sz="4" w:space="0" w:color="auto"/>
              <w:left w:val="nil"/>
              <w:bottom w:val="single" w:sz="8" w:space="0" w:color="auto"/>
              <w:right w:val="single" w:sz="4" w:space="0" w:color="auto"/>
            </w:tcBorders>
            <w:shd w:val="clear" w:color="auto" w:fill="D6E3BC" w:themeFill="accent3" w:themeFillTint="66"/>
            <w:vAlign w:val="bottom"/>
            <w:hideMark/>
          </w:tcPr>
          <w:p w:rsidR="005B7380" w:rsidRPr="00C75FF4" w:rsidRDefault="005B7380" w:rsidP="005F66EF">
            <w:pPr>
              <w:spacing w:after="0" w:line="240" w:lineRule="auto"/>
              <w:jc w:val="center"/>
              <w:rPr>
                <w:rFonts w:ascii="Calibri" w:eastAsia="Times New Roman" w:hAnsi="Calibri" w:cs="Calibri"/>
                <w:b/>
                <w:bCs/>
                <w:color w:val="000000"/>
                <w:sz w:val="20"/>
                <w:szCs w:val="20"/>
              </w:rPr>
            </w:pPr>
            <w:r w:rsidRPr="00C75FF4">
              <w:rPr>
                <w:rFonts w:ascii="Calibri" w:eastAsia="Times New Roman" w:hAnsi="Calibri" w:cs="Calibri"/>
                <w:b/>
                <w:bCs/>
                <w:color w:val="000000"/>
                <w:sz w:val="20"/>
                <w:szCs w:val="20"/>
              </w:rPr>
              <w:t>Strategies for Rapid Reversal and/or Hemostatic Correction</w:t>
            </w:r>
          </w:p>
        </w:tc>
      </w:tr>
      <w:tr w:rsidR="00691943" w:rsidRPr="00C75FF4" w:rsidTr="00480F9E">
        <w:trPr>
          <w:trHeight w:val="288"/>
        </w:trPr>
        <w:tc>
          <w:tcPr>
            <w:tcW w:w="15135" w:type="dxa"/>
            <w:gridSpan w:val="15"/>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691943" w:rsidRPr="00C75FF4" w:rsidRDefault="005B7380" w:rsidP="00480F9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Anti-F</w:t>
            </w:r>
            <w:r w:rsidR="00691943">
              <w:rPr>
                <w:rFonts w:ascii="Calibri" w:eastAsia="Times New Roman" w:hAnsi="Calibri" w:cs="Calibri"/>
                <w:color w:val="000000"/>
                <w:sz w:val="20"/>
                <w:szCs w:val="20"/>
              </w:rPr>
              <w:t>ibrinolytics</w:t>
            </w:r>
          </w:p>
        </w:tc>
      </w:tr>
      <w:tr w:rsidR="00691943" w:rsidRPr="00C75FF4" w:rsidTr="00B74398">
        <w:trPr>
          <w:cantSplit/>
          <w:trHeight w:val="1313"/>
        </w:trPr>
        <w:tc>
          <w:tcPr>
            <w:tcW w:w="465" w:type="dxa"/>
            <w:vMerge w:val="restart"/>
            <w:tcBorders>
              <w:top w:val="nil"/>
              <w:left w:val="single" w:sz="4" w:space="0" w:color="auto"/>
              <w:bottom w:val="single" w:sz="4" w:space="0" w:color="auto"/>
              <w:right w:val="nil"/>
            </w:tcBorders>
            <w:shd w:val="clear" w:color="auto" w:fill="EAF1DD" w:themeFill="accent3" w:themeFillTint="33"/>
            <w:noWrap/>
            <w:textDirection w:val="btLr"/>
            <w:vAlign w:val="center"/>
            <w:hideMark/>
          </w:tcPr>
          <w:p w:rsidR="00691943" w:rsidRPr="00691457" w:rsidRDefault="00691457" w:rsidP="00480F9E">
            <w:pPr>
              <w:spacing w:after="0" w:line="240" w:lineRule="auto"/>
              <w:jc w:val="center"/>
              <w:rPr>
                <w:rFonts w:ascii="Calibri" w:eastAsia="Times New Roman" w:hAnsi="Calibri" w:cs="Calibri"/>
                <w:color w:val="000000"/>
                <w:sz w:val="20"/>
                <w:szCs w:val="20"/>
                <w:highlight w:val="yellow"/>
              </w:rPr>
            </w:pPr>
            <w:r w:rsidRPr="004A497F">
              <w:rPr>
                <w:rFonts w:ascii="Calibri" w:eastAsia="Times New Roman" w:hAnsi="Calibri" w:cs="Calibri"/>
                <w:color w:val="000000"/>
                <w:sz w:val="20"/>
                <w:szCs w:val="20"/>
              </w:rPr>
              <w:t>Antifibrinolytic</w:t>
            </w:r>
          </w:p>
        </w:tc>
        <w:tc>
          <w:tcPr>
            <w:tcW w:w="450" w:type="dxa"/>
            <w:gridSpan w:val="2"/>
            <w:tcBorders>
              <w:top w:val="nil"/>
              <w:left w:val="nil"/>
              <w:right w:val="single" w:sz="4" w:space="0" w:color="auto"/>
            </w:tcBorders>
            <w:shd w:val="clear" w:color="auto" w:fill="EAF1DD" w:themeFill="accent3" w:themeFillTint="33"/>
            <w:noWrap/>
            <w:textDirection w:val="btLr"/>
            <w:vAlign w:val="bottom"/>
            <w:hideMark/>
          </w:tcPr>
          <w:p w:rsidR="00691943" w:rsidRPr="004A497F" w:rsidRDefault="00691457" w:rsidP="002D0A8E">
            <w:pPr>
              <w:spacing w:after="0" w:line="240" w:lineRule="auto"/>
              <w:ind w:left="113" w:right="113"/>
              <w:jc w:val="center"/>
              <w:rPr>
                <w:rFonts w:ascii="Calibri" w:eastAsia="Times New Roman" w:hAnsi="Calibri" w:cs="Calibri"/>
                <w:color w:val="000000"/>
                <w:sz w:val="20"/>
                <w:szCs w:val="20"/>
              </w:rPr>
            </w:pPr>
            <w:r w:rsidRPr="004A497F">
              <w:rPr>
                <w:rFonts w:ascii="Calibri" w:eastAsia="Times New Roman" w:hAnsi="Calibri" w:cs="Calibri"/>
                <w:color w:val="000000"/>
                <w:sz w:val="20"/>
                <w:szCs w:val="20"/>
              </w:rPr>
              <w:t>IV</w:t>
            </w:r>
          </w:p>
        </w:tc>
        <w:tc>
          <w:tcPr>
            <w:tcW w:w="1260" w:type="dxa"/>
            <w:tcBorders>
              <w:top w:val="nil"/>
              <w:left w:val="nil"/>
              <w:bottom w:val="single" w:sz="4" w:space="0" w:color="auto"/>
              <w:right w:val="single" w:sz="4" w:space="0" w:color="auto"/>
            </w:tcBorders>
            <w:shd w:val="clear" w:color="auto" w:fill="auto"/>
            <w:vAlign w:val="bottom"/>
          </w:tcPr>
          <w:p w:rsidR="00691943" w:rsidRPr="004A497F" w:rsidRDefault="00691943"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 xml:space="preserve">Epsilon </w:t>
            </w:r>
            <w:proofErr w:type="spellStart"/>
            <w:r w:rsidRPr="004A497F">
              <w:rPr>
                <w:rFonts w:ascii="Calibri" w:eastAsia="Times New Roman" w:hAnsi="Calibri" w:cs="Calibri"/>
                <w:color w:val="000000"/>
                <w:sz w:val="17"/>
                <w:szCs w:val="17"/>
              </w:rPr>
              <w:t>Aminocaproic</w:t>
            </w:r>
            <w:proofErr w:type="spellEnd"/>
            <w:r w:rsidRPr="004A497F">
              <w:rPr>
                <w:rFonts w:ascii="Calibri" w:eastAsia="Times New Roman" w:hAnsi="Calibri" w:cs="Calibri"/>
                <w:color w:val="000000"/>
                <w:sz w:val="17"/>
                <w:szCs w:val="17"/>
              </w:rPr>
              <w:t xml:space="preserve"> Acid (Amicar)</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tcPr>
          <w:p w:rsidR="00691943" w:rsidRPr="004A497F" w:rsidRDefault="002D0A8E" w:rsidP="00480F9E">
            <w:pPr>
              <w:spacing w:after="0" w:line="240" w:lineRule="auto"/>
              <w:rPr>
                <w:rFonts w:ascii="Calibri" w:eastAsia="Times New Roman" w:hAnsi="Calibri" w:cs="Calibri"/>
                <w:color w:val="000000"/>
                <w:sz w:val="17"/>
                <w:szCs w:val="17"/>
              </w:rPr>
            </w:pPr>
            <w:r w:rsidRPr="004A497F">
              <w:rPr>
                <w:sz w:val="16"/>
                <w:lang w:val="en"/>
              </w:rPr>
              <w:t>A</w:t>
            </w:r>
            <w:r w:rsidR="00931E50" w:rsidRPr="004A497F">
              <w:rPr>
                <w:sz w:val="16"/>
                <w:lang w:val="en"/>
              </w:rPr>
              <w:t xml:space="preserve"> derivative and analogue of the </w:t>
            </w:r>
            <w:hyperlink r:id="rId20" w:tooltip="Amino acid" w:history="1">
              <w:r w:rsidR="00931E50" w:rsidRPr="004A497F">
                <w:rPr>
                  <w:rStyle w:val="Hyperlink"/>
                  <w:color w:val="auto"/>
                  <w:sz w:val="16"/>
                  <w:u w:val="none"/>
                  <w:lang w:val="en"/>
                </w:rPr>
                <w:t>amino acid</w:t>
              </w:r>
            </w:hyperlink>
            <w:r w:rsidR="00931E50" w:rsidRPr="004A497F">
              <w:rPr>
                <w:sz w:val="16"/>
                <w:lang w:val="en"/>
              </w:rPr>
              <w:t xml:space="preserve"> </w:t>
            </w:r>
            <w:hyperlink r:id="rId21" w:tooltip="Lysine" w:history="1">
              <w:r w:rsidR="00931E50" w:rsidRPr="004A497F">
                <w:rPr>
                  <w:rStyle w:val="Hyperlink"/>
                  <w:color w:val="auto"/>
                  <w:sz w:val="16"/>
                  <w:u w:val="none"/>
                  <w:lang w:val="en"/>
                </w:rPr>
                <w:t>lysine</w:t>
              </w:r>
            </w:hyperlink>
            <w:r w:rsidR="00931E50" w:rsidRPr="004A497F">
              <w:rPr>
                <w:sz w:val="16"/>
                <w:lang w:val="en"/>
              </w:rPr>
              <w:t xml:space="preserve">, which makes it an effective </w:t>
            </w:r>
            <w:hyperlink r:id="rId22" w:tooltip="Enzyme inhibitor" w:history="1">
              <w:r w:rsidR="00931E50" w:rsidRPr="004A497F">
                <w:rPr>
                  <w:rStyle w:val="Hyperlink"/>
                  <w:color w:val="auto"/>
                  <w:sz w:val="16"/>
                  <w:u w:val="none"/>
                  <w:lang w:val="en"/>
                </w:rPr>
                <w:t>inhibitor</w:t>
              </w:r>
            </w:hyperlink>
            <w:r w:rsidR="00931E50" w:rsidRPr="004A497F">
              <w:rPr>
                <w:sz w:val="16"/>
                <w:lang w:val="en"/>
              </w:rPr>
              <w:t xml:space="preserve"> for </w:t>
            </w:r>
            <w:hyperlink r:id="rId23" w:tooltip="Enzyme" w:history="1">
              <w:r w:rsidR="00931E50" w:rsidRPr="004A497F">
                <w:rPr>
                  <w:rStyle w:val="Hyperlink"/>
                  <w:color w:val="auto"/>
                  <w:sz w:val="16"/>
                  <w:u w:val="none"/>
                  <w:lang w:val="en"/>
                </w:rPr>
                <w:t>enzymes</w:t>
              </w:r>
            </w:hyperlink>
            <w:r w:rsidR="00931E50" w:rsidRPr="004A497F">
              <w:rPr>
                <w:sz w:val="16"/>
                <w:lang w:val="en"/>
              </w:rPr>
              <w:t xml:space="preserve"> that bind that particular residue. Such enzymes include </w:t>
            </w:r>
            <w:hyperlink r:id="rId24" w:tooltip="Proteolytic" w:history="1">
              <w:r w:rsidR="00931E50" w:rsidRPr="004A497F">
                <w:rPr>
                  <w:rStyle w:val="Hyperlink"/>
                  <w:color w:val="auto"/>
                  <w:sz w:val="16"/>
                  <w:u w:val="none"/>
                  <w:lang w:val="en"/>
                </w:rPr>
                <w:t>proteolytic</w:t>
              </w:r>
            </w:hyperlink>
            <w:r w:rsidR="00931E50" w:rsidRPr="004A497F">
              <w:rPr>
                <w:sz w:val="16"/>
                <w:lang w:val="en"/>
              </w:rPr>
              <w:t xml:space="preserve"> enzymes like </w:t>
            </w:r>
            <w:hyperlink r:id="rId25" w:tooltip="Plasmin" w:history="1">
              <w:r w:rsidR="00931E50" w:rsidRPr="004A497F">
                <w:rPr>
                  <w:rStyle w:val="Hyperlink"/>
                  <w:color w:val="auto"/>
                  <w:sz w:val="16"/>
                  <w:u w:val="none"/>
                  <w:lang w:val="en"/>
                </w:rPr>
                <w:t>plasmin</w:t>
              </w:r>
            </w:hyperlink>
            <w:r w:rsidR="00931E50" w:rsidRPr="004A497F">
              <w:rPr>
                <w:sz w:val="16"/>
                <w:lang w:val="en"/>
              </w:rPr>
              <w:t xml:space="preserve">, the enzyme responsible for </w:t>
            </w:r>
            <w:hyperlink r:id="rId26" w:tooltip="Fibrinolysis" w:history="1">
              <w:r w:rsidR="00931E50" w:rsidRPr="004A497F">
                <w:rPr>
                  <w:rStyle w:val="Hyperlink"/>
                  <w:color w:val="auto"/>
                  <w:sz w:val="16"/>
                  <w:u w:val="none"/>
                  <w:lang w:val="en"/>
                </w:rPr>
                <w:t>fibrinolysis</w:t>
              </w:r>
            </w:hyperlink>
            <w:r w:rsidR="00931E50" w:rsidRPr="004A497F">
              <w:rPr>
                <w:sz w:val="16"/>
                <w:lang w:val="en"/>
              </w:rPr>
              <w:t>.</w:t>
            </w:r>
          </w:p>
        </w:tc>
        <w:tc>
          <w:tcPr>
            <w:tcW w:w="1440" w:type="dxa"/>
            <w:gridSpan w:val="2"/>
            <w:tcBorders>
              <w:top w:val="nil"/>
              <w:left w:val="nil"/>
              <w:bottom w:val="single" w:sz="4" w:space="0" w:color="auto"/>
              <w:right w:val="single" w:sz="4" w:space="0" w:color="auto"/>
            </w:tcBorders>
            <w:shd w:val="clear" w:color="auto" w:fill="auto"/>
            <w:noWrap/>
            <w:vAlign w:val="bottom"/>
          </w:tcPr>
          <w:p w:rsidR="00691943" w:rsidRPr="004A497F" w:rsidRDefault="002D0A8E"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R</w:t>
            </w:r>
            <w:r w:rsidR="00931E50" w:rsidRPr="004A497F">
              <w:rPr>
                <w:rFonts w:ascii="Calibri" w:eastAsia="Times New Roman" w:hAnsi="Calibri" w:cs="Calibri"/>
                <w:color w:val="000000"/>
                <w:sz w:val="17"/>
                <w:szCs w:val="17"/>
              </w:rPr>
              <w:t>enal</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1800" w:type="dxa"/>
            <w:tcBorders>
              <w:top w:val="nil"/>
              <w:left w:val="nil"/>
              <w:bottom w:val="single" w:sz="4" w:space="0" w:color="auto"/>
              <w:right w:val="single" w:sz="4" w:space="0" w:color="auto"/>
            </w:tcBorders>
            <w:shd w:val="clear" w:color="auto" w:fill="auto"/>
            <w:noWrap/>
            <w:vAlign w:val="bottom"/>
          </w:tcPr>
          <w:p w:rsidR="00691943" w:rsidRPr="004A497F" w:rsidRDefault="00931E50"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2 hours</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noWrap/>
            <w:vAlign w:val="bottom"/>
          </w:tcPr>
          <w:p w:rsidR="002D0A8E" w:rsidRPr="004A497F" w:rsidRDefault="00724DE5" w:rsidP="002D0A8E">
            <w:pPr>
              <w:pStyle w:val="ListParagraph"/>
              <w:numPr>
                <w:ilvl w:val="0"/>
                <w:numId w:val="7"/>
              </w:numPr>
              <w:spacing w:after="0" w:line="240" w:lineRule="auto"/>
              <w:ind w:left="360"/>
              <w:rPr>
                <w:rFonts w:ascii="Calibri" w:eastAsia="Times New Roman" w:hAnsi="Calibri" w:cs="Calibri"/>
                <w:color w:val="000000"/>
                <w:sz w:val="17"/>
                <w:szCs w:val="17"/>
              </w:rPr>
            </w:pPr>
            <w:r w:rsidRPr="004A497F">
              <w:rPr>
                <w:rFonts w:ascii="Calibri" w:eastAsia="Times New Roman" w:hAnsi="Calibri" w:cs="Calibri"/>
                <w:color w:val="000000"/>
                <w:sz w:val="17"/>
                <w:szCs w:val="17"/>
              </w:rPr>
              <w:t>CABG</w:t>
            </w:r>
          </w:p>
          <w:p w:rsidR="00724DE5" w:rsidRPr="004A497F" w:rsidRDefault="00724DE5" w:rsidP="002D0A8E">
            <w:pPr>
              <w:pStyle w:val="ListParagraph"/>
              <w:numPr>
                <w:ilvl w:val="0"/>
                <w:numId w:val="7"/>
              </w:numPr>
              <w:spacing w:after="0" w:line="240" w:lineRule="auto"/>
              <w:ind w:left="360"/>
              <w:rPr>
                <w:rFonts w:ascii="Calibri" w:eastAsia="Times New Roman" w:hAnsi="Calibri" w:cs="Calibri"/>
                <w:color w:val="000000"/>
                <w:sz w:val="17"/>
                <w:szCs w:val="17"/>
              </w:rPr>
            </w:pPr>
            <w:r w:rsidRPr="004A497F">
              <w:rPr>
                <w:rFonts w:ascii="Calibri" w:eastAsia="Times New Roman" w:hAnsi="Calibri" w:cs="Calibri"/>
                <w:color w:val="000000"/>
                <w:sz w:val="17"/>
                <w:szCs w:val="17"/>
              </w:rPr>
              <w:t>Fibrinolysis induced bleeding</w:t>
            </w:r>
          </w:p>
          <w:p w:rsidR="00724DE5" w:rsidRPr="004A497F" w:rsidRDefault="00724DE5" w:rsidP="002D0A8E">
            <w:pPr>
              <w:pStyle w:val="ListParagraph"/>
              <w:numPr>
                <w:ilvl w:val="0"/>
                <w:numId w:val="7"/>
              </w:numPr>
              <w:spacing w:after="0" w:line="240" w:lineRule="auto"/>
              <w:ind w:left="360"/>
              <w:rPr>
                <w:rFonts w:ascii="Calibri" w:eastAsia="Times New Roman" w:hAnsi="Calibri" w:cs="Calibri"/>
                <w:color w:val="000000"/>
                <w:sz w:val="17"/>
                <w:szCs w:val="17"/>
              </w:rPr>
            </w:pPr>
            <w:r w:rsidRPr="004A497F">
              <w:rPr>
                <w:rFonts w:ascii="Calibri" w:eastAsia="Times New Roman" w:hAnsi="Calibri" w:cs="Calibri"/>
                <w:color w:val="000000"/>
                <w:sz w:val="17"/>
                <w:szCs w:val="17"/>
              </w:rPr>
              <w:t>tPA reversal</w:t>
            </w:r>
          </w:p>
          <w:p w:rsidR="002D0A8E" w:rsidRPr="004A497F" w:rsidRDefault="002D0A8E"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tc>
        <w:tc>
          <w:tcPr>
            <w:tcW w:w="1890" w:type="dxa"/>
            <w:gridSpan w:val="2"/>
            <w:tcBorders>
              <w:top w:val="nil"/>
              <w:left w:val="nil"/>
              <w:bottom w:val="single" w:sz="4" w:space="0" w:color="auto"/>
              <w:right w:val="single" w:sz="4" w:space="0" w:color="auto"/>
            </w:tcBorders>
            <w:shd w:val="clear" w:color="auto" w:fill="auto"/>
            <w:noWrap/>
            <w:vAlign w:val="bottom"/>
          </w:tcPr>
          <w:p w:rsidR="00691943" w:rsidRPr="004A497F" w:rsidRDefault="00691943" w:rsidP="00480F9E">
            <w:pPr>
              <w:spacing w:after="0" w:line="240" w:lineRule="auto"/>
              <w:rPr>
                <w:rFonts w:ascii="Calibri" w:eastAsia="Times New Roman" w:hAnsi="Calibri" w:cs="Calibri"/>
                <w:color w:val="C00000"/>
                <w:sz w:val="17"/>
                <w:szCs w:val="17"/>
              </w:rPr>
            </w:pPr>
            <w:r w:rsidRPr="004A497F">
              <w:rPr>
                <w:rFonts w:ascii="Calibri" w:eastAsia="Times New Roman" w:hAnsi="Calibri" w:cs="Calibri"/>
                <w:color w:val="C00000"/>
                <w:sz w:val="17"/>
                <w:szCs w:val="17"/>
              </w:rPr>
              <w:t>TEG – Decreases LY30 if fibrinolysis present</w:t>
            </w: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2880" w:type="dxa"/>
            <w:tcBorders>
              <w:top w:val="nil"/>
              <w:left w:val="nil"/>
              <w:bottom w:val="single" w:sz="4" w:space="0" w:color="auto"/>
              <w:right w:val="single" w:sz="4" w:space="0" w:color="auto"/>
            </w:tcBorders>
            <w:shd w:val="clear" w:color="auto" w:fill="auto"/>
            <w:noWrap/>
            <w:vAlign w:val="bottom"/>
          </w:tcPr>
          <w:p w:rsidR="00691943" w:rsidRPr="004A497F" w:rsidRDefault="00931E50"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D/C agent</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r>
      <w:tr w:rsidR="00691943" w:rsidRPr="00C75FF4" w:rsidTr="00B74398">
        <w:trPr>
          <w:cantSplit/>
          <w:trHeight w:val="1313"/>
        </w:trPr>
        <w:tc>
          <w:tcPr>
            <w:tcW w:w="465" w:type="dxa"/>
            <w:vMerge/>
            <w:tcBorders>
              <w:top w:val="nil"/>
              <w:left w:val="single" w:sz="4" w:space="0" w:color="auto"/>
              <w:bottom w:val="single" w:sz="4" w:space="0" w:color="auto"/>
              <w:right w:val="nil"/>
            </w:tcBorders>
            <w:shd w:val="clear" w:color="auto" w:fill="EAF1DD" w:themeFill="accent3" w:themeFillTint="33"/>
            <w:noWrap/>
            <w:textDirection w:val="btLr"/>
            <w:vAlign w:val="center"/>
          </w:tcPr>
          <w:p w:rsidR="00691943" w:rsidRPr="00C75FF4" w:rsidRDefault="00691943" w:rsidP="00480F9E">
            <w:pPr>
              <w:spacing w:after="0" w:line="240" w:lineRule="auto"/>
              <w:jc w:val="center"/>
              <w:rPr>
                <w:rFonts w:ascii="Calibri" w:eastAsia="Times New Roman" w:hAnsi="Calibri" w:cs="Calibri"/>
                <w:color w:val="000000"/>
                <w:sz w:val="20"/>
                <w:szCs w:val="20"/>
              </w:rPr>
            </w:pPr>
          </w:p>
        </w:tc>
        <w:tc>
          <w:tcPr>
            <w:tcW w:w="450" w:type="dxa"/>
            <w:gridSpan w:val="2"/>
            <w:tcBorders>
              <w:top w:val="nil"/>
              <w:left w:val="nil"/>
              <w:right w:val="single" w:sz="4" w:space="0" w:color="auto"/>
            </w:tcBorders>
            <w:shd w:val="clear" w:color="auto" w:fill="EAF1DD" w:themeFill="accent3" w:themeFillTint="33"/>
            <w:noWrap/>
            <w:textDirection w:val="btLr"/>
            <w:vAlign w:val="bottom"/>
          </w:tcPr>
          <w:p w:rsidR="00691943" w:rsidRPr="004A497F" w:rsidRDefault="00691457" w:rsidP="002D0A8E">
            <w:pPr>
              <w:spacing w:after="0" w:line="240" w:lineRule="auto"/>
              <w:ind w:left="113" w:right="113"/>
              <w:jc w:val="center"/>
              <w:rPr>
                <w:rFonts w:ascii="Calibri" w:eastAsia="Times New Roman" w:hAnsi="Calibri" w:cs="Calibri"/>
                <w:color w:val="000000"/>
                <w:sz w:val="20"/>
                <w:szCs w:val="20"/>
              </w:rPr>
            </w:pPr>
            <w:r w:rsidRPr="004A497F">
              <w:rPr>
                <w:rFonts w:ascii="Calibri" w:eastAsia="Times New Roman" w:hAnsi="Calibri" w:cs="Calibri"/>
                <w:color w:val="000000"/>
                <w:sz w:val="20"/>
                <w:szCs w:val="20"/>
              </w:rPr>
              <w:t>IV</w:t>
            </w:r>
          </w:p>
        </w:tc>
        <w:tc>
          <w:tcPr>
            <w:tcW w:w="1260" w:type="dxa"/>
            <w:tcBorders>
              <w:top w:val="nil"/>
              <w:left w:val="nil"/>
              <w:bottom w:val="single" w:sz="4" w:space="0" w:color="auto"/>
              <w:right w:val="single" w:sz="4" w:space="0" w:color="auto"/>
            </w:tcBorders>
            <w:shd w:val="clear" w:color="auto" w:fill="auto"/>
            <w:vAlign w:val="bottom"/>
          </w:tcPr>
          <w:p w:rsidR="00691943" w:rsidRPr="004A497F" w:rsidRDefault="00691943"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Tranexamic Acid (</w:t>
            </w:r>
            <w:proofErr w:type="spellStart"/>
            <w:r w:rsidRPr="004A497F">
              <w:rPr>
                <w:rFonts w:ascii="Calibri" w:eastAsia="Times New Roman" w:hAnsi="Calibri" w:cs="Calibri"/>
                <w:color w:val="000000"/>
                <w:sz w:val="17"/>
                <w:szCs w:val="17"/>
              </w:rPr>
              <w:t>Cyklokapron</w:t>
            </w:r>
            <w:proofErr w:type="spellEnd"/>
            <w:r w:rsidRPr="004A497F">
              <w:rPr>
                <w:rFonts w:ascii="Calibri" w:eastAsia="Times New Roman" w:hAnsi="Calibri" w:cs="Calibri"/>
                <w:color w:val="000000"/>
                <w:sz w:val="17"/>
                <w:szCs w:val="17"/>
              </w:rPr>
              <w:t xml:space="preserve">, </w:t>
            </w:r>
            <w:proofErr w:type="spellStart"/>
            <w:r w:rsidRPr="004A497F">
              <w:rPr>
                <w:rFonts w:ascii="Calibri" w:eastAsia="Times New Roman" w:hAnsi="Calibri" w:cs="Calibri"/>
                <w:color w:val="000000"/>
                <w:sz w:val="17"/>
                <w:szCs w:val="17"/>
              </w:rPr>
              <w:t>Transamin</w:t>
            </w:r>
            <w:proofErr w:type="spellEnd"/>
            <w:r w:rsidRPr="004A497F">
              <w:rPr>
                <w:rFonts w:ascii="Calibri" w:eastAsia="Times New Roman" w:hAnsi="Calibri" w:cs="Calibri"/>
                <w:color w:val="000000"/>
                <w:sz w:val="17"/>
                <w:szCs w:val="17"/>
              </w:rPr>
              <w:t>)</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1980" w:type="dxa"/>
            <w:gridSpan w:val="3"/>
            <w:tcBorders>
              <w:top w:val="nil"/>
              <w:left w:val="nil"/>
              <w:bottom w:val="single" w:sz="4" w:space="0" w:color="auto"/>
              <w:right w:val="single" w:sz="4" w:space="0" w:color="auto"/>
            </w:tcBorders>
            <w:shd w:val="clear" w:color="auto" w:fill="auto"/>
            <w:vAlign w:val="bottom"/>
          </w:tcPr>
          <w:p w:rsidR="00691943" w:rsidRPr="004A497F" w:rsidRDefault="00384D05" w:rsidP="002D0A8E">
            <w:pPr>
              <w:pStyle w:val="NormalWeb"/>
              <w:rPr>
                <w:sz w:val="18"/>
                <w:lang w:val="en"/>
              </w:rPr>
            </w:pPr>
            <w:hyperlink r:id="rId27" w:tooltip="Antifibrinolytic" w:history="1">
              <w:r w:rsidR="002D0A8E" w:rsidRPr="004A497F">
                <w:rPr>
                  <w:rStyle w:val="Hyperlink"/>
                  <w:color w:val="auto"/>
                  <w:sz w:val="18"/>
                  <w:u w:val="none"/>
                  <w:lang w:val="en"/>
                </w:rPr>
                <w:t>A</w:t>
              </w:r>
              <w:r w:rsidR="00931E50" w:rsidRPr="004A497F">
                <w:rPr>
                  <w:rStyle w:val="Hyperlink"/>
                  <w:color w:val="auto"/>
                  <w:sz w:val="18"/>
                  <w:u w:val="none"/>
                  <w:lang w:val="en"/>
                </w:rPr>
                <w:t>ntifibrinolytic</w:t>
              </w:r>
            </w:hyperlink>
            <w:r w:rsidR="00931E50" w:rsidRPr="004A497F">
              <w:rPr>
                <w:sz w:val="18"/>
                <w:lang w:val="en"/>
              </w:rPr>
              <w:t xml:space="preserve"> that competitively inhibits the activation of plasminogen to </w:t>
            </w:r>
            <w:hyperlink r:id="rId28" w:tooltip="Plasmin" w:history="1">
              <w:r w:rsidR="00931E50" w:rsidRPr="004A497F">
                <w:rPr>
                  <w:rStyle w:val="Hyperlink"/>
                  <w:color w:val="auto"/>
                  <w:sz w:val="18"/>
                  <w:u w:val="none"/>
                  <w:lang w:val="en"/>
                </w:rPr>
                <w:t>plasmin</w:t>
              </w:r>
            </w:hyperlink>
            <w:r w:rsidR="00931E50" w:rsidRPr="004A497F">
              <w:rPr>
                <w:sz w:val="18"/>
                <w:lang w:val="en"/>
              </w:rPr>
              <w:t xml:space="preserve">, by binding to specific sites of </w:t>
            </w:r>
            <w:proofErr w:type="gramStart"/>
            <w:r w:rsidR="00931E50" w:rsidRPr="004A497F">
              <w:rPr>
                <w:sz w:val="18"/>
                <w:lang w:val="en"/>
              </w:rPr>
              <w:t>both plasminogen</w:t>
            </w:r>
            <w:proofErr w:type="gramEnd"/>
            <w:r w:rsidR="00931E50" w:rsidRPr="004A497F">
              <w:rPr>
                <w:sz w:val="18"/>
                <w:lang w:val="en"/>
              </w:rPr>
              <w:t xml:space="preserve"> and plasmin, a molecule responsible for the degradation of </w:t>
            </w:r>
            <w:hyperlink r:id="rId29" w:tooltip="Fibrin" w:history="1">
              <w:r w:rsidR="00931E50" w:rsidRPr="004A497F">
                <w:rPr>
                  <w:rStyle w:val="Hyperlink"/>
                  <w:color w:val="auto"/>
                  <w:sz w:val="18"/>
                  <w:u w:val="none"/>
                  <w:lang w:val="en"/>
                </w:rPr>
                <w:t>fibrin</w:t>
              </w:r>
            </w:hyperlink>
            <w:r w:rsidR="00931E50" w:rsidRPr="004A497F">
              <w:rPr>
                <w:sz w:val="18"/>
                <w:lang w:val="en"/>
              </w:rPr>
              <w:t xml:space="preserve">, a protein that forms the framework of blood clots. Tranexamic acid has roughly eight times the </w:t>
            </w:r>
            <w:hyperlink r:id="rId30" w:tooltip="Antifibrinolytic" w:history="1">
              <w:r w:rsidR="00931E50" w:rsidRPr="004A497F">
                <w:rPr>
                  <w:rStyle w:val="Hyperlink"/>
                  <w:color w:val="auto"/>
                  <w:sz w:val="18"/>
                  <w:u w:val="none"/>
                  <w:lang w:val="en"/>
                </w:rPr>
                <w:t>antifibrinolytic</w:t>
              </w:r>
            </w:hyperlink>
            <w:r w:rsidR="00931E50" w:rsidRPr="004A497F">
              <w:rPr>
                <w:sz w:val="18"/>
                <w:lang w:val="en"/>
              </w:rPr>
              <w:t xml:space="preserve"> activity of an older analogue, ε-</w:t>
            </w:r>
            <w:proofErr w:type="spellStart"/>
            <w:r w:rsidR="003E0F3E">
              <w:fldChar w:fldCharType="begin"/>
            </w:r>
            <w:r w:rsidR="003E0F3E">
              <w:instrText xml:space="preserve"> HYPERLINK "http://en.wikipedia.org/wiki/Aminocaproic_acid" \o "Aminocaproic acid" </w:instrText>
            </w:r>
            <w:r w:rsidR="003E0F3E">
              <w:fldChar w:fldCharType="separate"/>
            </w:r>
            <w:r w:rsidR="00931E50" w:rsidRPr="004A497F">
              <w:rPr>
                <w:rStyle w:val="Hyperlink"/>
                <w:color w:val="auto"/>
                <w:sz w:val="18"/>
                <w:u w:val="none"/>
                <w:lang w:val="en"/>
              </w:rPr>
              <w:t>aminocaproic</w:t>
            </w:r>
            <w:proofErr w:type="spellEnd"/>
            <w:r w:rsidR="00931E50" w:rsidRPr="004A497F">
              <w:rPr>
                <w:rStyle w:val="Hyperlink"/>
                <w:color w:val="auto"/>
                <w:sz w:val="18"/>
                <w:u w:val="none"/>
                <w:lang w:val="en"/>
              </w:rPr>
              <w:t xml:space="preserve"> acid</w:t>
            </w:r>
            <w:r w:rsidR="003E0F3E">
              <w:rPr>
                <w:rStyle w:val="Hyperlink"/>
                <w:color w:val="auto"/>
                <w:sz w:val="18"/>
                <w:u w:val="none"/>
                <w:lang w:val="en"/>
              </w:rPr>
              <w:fldChar w:fldCharType="end"/>
            </w:r>
            <w:r w:rsidR="002D0A8E" w:rsidRPr="004A497F">
              <w:rPr>
                <w:sz w:val="18"/>
                <w:lang w:val="en"/>
              </w:rPr>
              <w:t>.</w:t>
            </w:r>
          </w:p>
        </w:tc>
        <w:tc>
          <w:tcPr>
            <w:tcW w:w="1440" w:type="dxa"/>
            <w:gridSpan w:val="2"/>
            <w:tcBorders>
              <w:top w:val="nil"/>
              <w:left w:val="nil"/>
              <w:bottom w:val="single" w:sz="4" w:space="0" w:color="auto"/>
              <w:right w:val="single" w:sz="4" w:space="0" w:color="auto"/>
            </w:tcBorders>
            <w:shd w:val="clear" w:color="auto" w:fill="auto"/>
            <w:noWrap/>
            <w:vAlign w:val="bottom"/>
          </w:tcPr>
          <w:p w:rsidR="00691943" w:rsidRPr="004A497F" w:rsidRDefault="002D0A8E"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U</w:t>
            </w:r>
            <w:r w:rsidR="00931E50" w:rsidRPr="004A497F">
              <w:rPr>
                <w:rFonts w:ascii="Calibri" w:eastAsia="Times New Roman" w:hAnsi="Calibri" w:cs="Calibri"/>
                <w:color w:val="000000"/>
                <w:sz w:val="17"/>
                <w:szCs w:val="17"/>
              </w:rPr>
              <w:t>nknown</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1800" w:type="dxa"/>
            <w:tcBorders>
              <w:top w:val="nil"/>
              <w:left w:val="nil"/>
              <w:bottom w:val="single" w:sz="4" w:space="0" w:color="auto"/>
              <w:right w:val="single" w:sz="4" w:space="0" w:color="auto"/>
            </w:tcBorders>
            <w:shd w:val="clear" w:color="auto" w:fill="auto"/>
            <w:noWrap/>
            <w:vAlign w:val="bottom"/>
          </w:tcPr>
          <w:p w:rsidR="00691943" w:rsidRPr="004A497F" w:rsidRDefault="00931E50"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3.1 hours</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2970" w:type="dxa"/>
            <w:gridSpan w:val="2"/>
            <w:tcBorders>
              <w:top w:val="nil"/>
              <w:left w:val="nil"/>
              <w:bottom w:val="single" w:sz="4" w:space="0" w:color="auto"/>
              <w:right w:val="single" w:sz="4" w:space="0" w:color="auto"/>
            </w:tcBorders>
            <w:shd w:val="clear" w:color="auto" w:fill="auto"/>
            <w:noWrap/>
            <w:vAlign w:val="bottom"/>
          </w:tcPr>
          <w:p w:rsidR="00724DE5" w:rsidRPr="004A497F" w:rsidRDefault="00724DE5" w:rsidP="00724DE5">
            <w:pPr>
              <w:pStyle w:val="ListParagraph"/>
              <w:numPr>
                <w:ilvl w:val="0"/>
                <w:numId w:val="7"/>
              </w:numPr>
              <w:spacing w:after="0" w:line="240" w:lineRule="auto"/>
              <w:ind w:left="360"/>
              <w:rPr>
                <w:rFonts w:ascii="Calibri" w:eastAsia="Times New Roman" w:hAnsi="Calibri" w:cs="Calibri"/>
                <w:color w:val="000000"/>
                <w:sz w:val="17"/>
                <w:szCs w:val="17"/>
              </w:rPr>
            </w:pPr>
            <w:r w:rsidRPr="004A497F">
              <w:rPr>
                <w:rFonts w:ascii="Calibri" w:eastAsia="Times New Roman" w:hAnsi="Calibri" w:cs="Calibri"/>
                <w:color w:val="000000"/>
                <w:sz w:val="17"/>
                <w:szCs w:val="17"/>
              </w:rPr>
              <w:t>PO heavy Menses</w:t>
            </w:r>
          </w:p>
          <w:p w:rsidR="00724DE5" w:rsidRPr="004A497F" w:rsidRDefault="00724DE5" w:rsidP="00724DE5">
            <w:pPr>
              <w:pStyle w:val="ListParagraph"/>
              <w:numPr>
                <w:ilvl w:val="0"/>
                <w:numId w:val="7"/>
              </w:numPr>
              <w:spacing w:after="0" w:line="240" w:lineRule="auto"/>
              <w:ind w:left="360"/>
              <w:rPr>
                <w:rFonts w:ascii="Calibri" w:eastAsia="Times New Roman" w:hAnsi="Calibri" w:cs="Calibri"/>
                <w:color w:val="000000"/>
                <w:sz w:val="17"/>
                <w:szCs w:val="17"/>
              </w:rPr>
            </w:pPr>
            <w:r w:rsidRPr="004A497F">
              <w:rPr>
                <w:rFonts w:ascii="Calibri" w:eastAsia="Times New Roman" w:hAnsi="Calibri" w:cs="Calibri"/>
                <w:color w:val="000000"/>
                <w:sz w:val="17"/>
                <w:szCs w:val="17"/>
              </w:rPr>
              <w:t>IV reversal of fibrinolysis induced bleeding</w:t>
            </w:r>
          </w:p>
          <w:p w:rsidR="00724DE5" w:rsidRPr="004A497F" w:rsidRDefault="00724DE5" w:rsidP="00724DE5">
            <w:pPr>
              <w:pStyle w:val="ListParagraph"/>
              <w:numPr>
                <w:ilvl w:val="0"/>
                <w:numId w:val="7"/>
              </w:numPr>
              <w:spacing w:after="0" w:line="240" w:lineRule="auto"/>
              <w:ind w:left="360"/>
              <w:rPr>
                <w:rFonts w:ascii="Calibri" w:eastAsia="Times New Roman" w:hAnsi="Calibri" w:cs="Calibri"/>
                <w:color w:val="000000"/>
                <w:sz w:val="17"/>
                <w:szCs w:val="17"/>
              </w:rPr>
            </w:pPr>
            <w:proofErr w:type="spellStart"/>
            <w:r w:rsidRPr="004A497F">
              <w:rPr>
                <w:rFonts w:ascii="Calibri" w:eastAsia="Times New Roman" w:hAnsi="Calibri" w:cs="Calibri"/>
                <w:color w:val="000000"/>
                <w:sz w:val="17"/>
                <w:szCs w:val="17"/>
              </w:rPr>
              <w:t>Reveral</w:t>
            </w:r>
            <w:proofErr w:type="spellEnd"/>
            <w:r w:rsidRPr="004A497F">
              <w:rPr>
                <w:rFonts w:ascii="Calibri" w:eastAsia="Times New Roman" w:hAnsi="Calibri" w:cs="Calibri"/>
                <w:color w:val="000000"/>
                <w:sz w:val="17"/>
                <w:szCs w:val="17"/>
              </w:rPr>
              <w:t xml:space="preserve"> of tPA</w:t>
            </w:r>
          </w:p>
          <w:p w:rsidR="00724DE5" w:rsidRPr="004A497F" w:rsidRDefault="00724DE5" w:rsidP="00724DE5">
            <w:pPr>
              <w:spacing w:after="0" w:line="240" w:lineRule="auto"/>
              <w:rPr>
                <w:rFonts w:ascii="Calibri" w:eastAsia="Times New Roman" w:hAnsi="Calibri" w:cs="Calibri"/>
                <w:color w:val="000000"/>
                <w:sz w:val="17"/>
                <w:szCs w:val="17"/>
              </w:rPr>
            </w:pPr>
          </w:p>
          <w:p w:rsidR="00724DE5" w:rsidRPr="004A497F" w:rsidRDefault="00724DE5"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tc>
        <w:tc>
          <w:tcPr>
            <w:tcW w:w="1890" w:type="dxa"/>
            <w:gridSpan w:val="2"/>
            <w:tcBorders>
              <w:top w:val="nil"/>
              <w:left w:val="nil"/>
              <w:bottom w:val="single" w:sz="4" w:space="0" w:color="auto"/>
              <w:right w:val="single" w:sz="4" w:space="0" w:color="auto"/>
            </w:tcBorders>
            <w:shd w:val="clear" w:color="auto" w:fill="auto"/>
            <w:noWrap/>
            <w:vAlign w:val="bottom"/>
          </w:tcPr>
          <w:p w:rsidR="00691943" w:rsidRPr="004A497F" w:rsidRDefault="00691943" w:rsidP="00480F9E">
            <w:pPr>
              <w:spacing w:after="0" w:line="240" w:lineRule="auto"/>
              <w:rPr>
                <w:rFonts w:ascii="Calibri" w:eastAsia="Times New Roman" w:hAnsi="Calibri" w:cs="Calibri"/>
                <w:color w:val="C00000"/>
                <w:sz w:val="17"/>
                <w:szCs w:val="17"/>
              </w:rPr>
            </w:pPr>
            <w:r w:rsidRPr="004A497F">
              <w:rPr>
                <w:rFonts w:ascii="Calibri" w:eastAsia="Times New Roman" w:hAnsi="Calibri" w:cs="Calibri"/>
                <w:color w:val="C00000"/>
                <w:sz w:val="17"/>
                <w:szCs w:val="17"/>
              </w:rPr>
              <w:t>TEG – Decreases LY30 if fibrinolysis present</w:t>
            </w: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tc>
        <w:tc>
          <w:tcPr>
            <w:tcW w:w="2880" w:type="dxa"/>
            <w:tcBorders>
              <w:top w:val="nil"/>
              <w:left w:val="nil"/>
              <w:bottom w:val="single" w:sz="4" w:space="0" w:color="auto"/>
              <w:right w:val="single" w:sz="4" w:space="0" w:color="auto"/>
            </w:tcBorders>
            <w:shd w:val="clear" w:color="auto" w:fill="auto"/>
            <w:noWrap/>
            <w:vAlign w:val="bottom"/>
          </w:tcPr>
          <w:p w:rsidR="00691943" w:rsidRPr="004A497F" w:rsidRDefault="00691457"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D/C agent</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r>
      <w:tr w:rsidR="00691943" w:rsidRPr="00C75FF4" w:rsidTr="00B74398">
        <w:trPr>
          <w:trHeight w:val="1520"/>
        </w:trPr>
        <w:tc>
          <w:tcPr>
            <w:tcW w:w="465" w:type="dxa"/>
            <w:vMerge/>
            <w:tcBorders>
              <w:top w:val="single" w:sz="4" w:space="0" w:color="000000"/>
              <w:left w:val="single" w:sz="4" w:space="0" w:color="auto"/>
              <w:bottom w:val="single" w:sz="4" w:space="0" w:color="auto"/>
              <w:right w:val="nil"/>
            </w:tcBorders>
            <w:shd w:val="clear" w:color="auto" w:fill="EAF1DD" w:themeFill="accent3" w:themeFillTint="33"/>
            <w:vAlign w:val="center"/>
            <w:hideMark/>
          </w:tcPr>
          <w:p w:rsidR="00691943" w:rsidRPr="00C75FF4" w:rsidRDefault="00691943" w:rsidP="00480F9E">
            <w:pPr>
              <w:spacing w:after="0" w:line="240" w:lineRule="auto"/>
              <w:rPr>
                <w:rFonts w:ascii="Calibri" w:eastAsia="Times New Roman" w:hAnsi="Calibri" w:cs="Calibri"/>
                <w:color w:val="000000"/>
                <w:sz w:val="20"/>
                <w:szCs w:val="20"/>
              </w:rPr>
            </w:pPr>
          </w:p>
        </w:tc>
        <w:tc>
          <w:tcPr>
            <w:tcW w:w="45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691943" w:rsidRPr="004A497F" w:rsidRDefault="00691943" w:rsidP="00480F9E">
            <w:pPr>
              <w:spacing w:after="0" w:line="240" w:lineRule="auto"/>
              <w:rPr>
                <w:rFonts w:ascii="Calibri" w:eastAsia="Times New Roman" w:hAnsi="Calibri" w:cs="Calibri"/>
                <w:color w:val="000000"/>
                <w:sz w:val="20"/>
                <w:szCs w:val="20"/>
              </w:rPr>
            </w:pPr>
            <w:r w:rsidRPr="004A497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tcPr>
          <w:p w:rsidR="00691943" w:rsidRPr="004A497F" w:rsidRDefault="00691943" w:rsidP="00480F9E">
            <w:pPr>
              <w:spacing w:after="0" w:line="240" w:lineRule="auto"/>
              <w:rPr>
                <w:rFonts w:ascii="Calibri" w:eastAsia="Times New Roman" w:hAnsi="Calibri" w:cs="Calibri"/>
                <w:color w:val="000000"/>
                <w:sz w:val="17"/>
                <w:szCs w:val="17"/>
              </w:rPr>
            </w:pPr>
            <w:proofErr w:type="spellStart"/>
            <w:r w:rsidRPr="004A497F">
              <w:rPr>
                <w:rFonts w:ascii="Calibri" w:eastAsia="Times New Roman" w:hAnsi="Calibri" w:cs="Calibri"/>
                <w:color w:val="000000"/>
                <w:sz w:val="17"/>
                <w:szCs w:val="17"/>
              </w:rPr>
              <w:t>Aprotinin</w:t>
            </w:r>
            <w:proofErr w:type="spellEnd"/>
            <w:r w:rsidRPr="004A497F">
              <w:rPr>
                <w:rFonts w:ascii="Calibri" w:eastAsia="Times New Roman" w:hAnsi="Calibri" w:cs="Calibri"/>
                <w:color w:val="000000"/>
                <w:sz w:val="17"/>
                <w:szCs w:val="17"/>
              </w:rPr>
              <w:t xml:space="preserve"> (</w:t>
            </w:r>
            <w:proofErr w:type="spellStart"/>
            <w:r w:rsidRPr="004A497F">
              <w:rPr>
                <w:rFonts w:ascii="Calibri" w:eastAsia="Times New Roman" w:hAnsi="Calibri" w:cs="Calibri"/>
                <w:color w:val="000000"/>
                <w:sz w:val="17"/>
                <w:szCs w:val="17"/>
              </w:rPr>
              <w:t>Trasylol</w:t>
            </w:r>
            <w:proofErr w:type="spellEnd"/>
            <w:r w:rsidRPr="004A497F">
              <w:rPr>
                <w:rFonts w:ascii="Calibri" w:eastAsia="Times New Roman" w:hAnsi="Calibri" w:cs="Calibri"/>
                <w:color w:val="000000"/>
                <w:sz w:val="17"/>
                <w:szCs w:val="17"/>
              </w:rPr>
              <w:t xml:space="preserve">) </w:t>
            </w:r>
          </w:p>
          <w:p w:rsidR="00691943" w:rsidRPr="004A497F" w:rsidRDefault="00691943"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NOT Approved in US</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left w:val="nil"/>
              <w:bottom w:val="single" w:sz="4" w:space="0" w:color="auto"/>
              <w:right w:val="single" w:sz="4" w:space="0" w:color="auto"/>
            </w:tcBorders>
            <w:shd w:val="clear" w:color="auto" w:fill="auto"/>
            <w:vAlign w:val="bottom"/>
          </w:tcPr>
          <w:p w:rsidR="00691943" w:rsidRPr="004A497F" w:rsidRDefault="00691457" w:rsidP="002D0A8E">
            <w:pPr>
              <w:pStyle w:val="NormalWeb"/>
              <w:rPr>
                <w:lang w:val="en"/>
              </w:rPr>
            </w:pPr>
            <w:proofErr w:type="gramStart"/>
            <w:r w:rsidRPr="004A497F">
              <w:rPr>
                <w:sz w:val="18"/>
                <w:lang w:val="en"/>
              </w:rPr>
              <w:t>small</w:t>
            </w:r>
            <w:proofErr w:type="gramEnd"/>
            <w:r w:rsidRPr="004A497F">
              <w:rPr>
                <w:sz w:val="18"/>
                <w:lang w:val="en"/>
              </w:rPr>
              <w:t xml:space="preserve"> protein </w:t>
            </w:r>
            <w:r w:rsidRPr="004A497F">
              <w:rPr>
                <w:bCs/>
                <w:sz w:val="18"/>
                <w:lang w:val="en"/>
              </w:rPr>
              <w:t>bovine pancreatic trypsin inhibitor</w:t>
            </w:r>
            <w:r w:rsidRPr="004A497F">
              <w:rPr>
                <w:sz w:val="18"/>
                <w:lang w:val="en"/>
              </w:rPr>
              <w:t xml:space="preserve">, or </w:t>
            </w:r>
            <w:r w:rsidRPr="004A497F">
              <w:rPr>
                <w:bCs/>
                <w:sz w:val="18"/>
                <w:lang w:val="en"/>
              </w:rPr>
              <w:t>BPTI</w:t>
            </w:r>
            <w:r w:rsidRPr="004A497F">
              <w:rPr>
                <w:sz w:val="18"/>
                <w:lang w:val="en"/>
              </w:rPr>
              <w:t xml:space="preserve">, which inhibits </w:t>
            </w:r>
            <w:hyperlink r:id="rId31" w:tooltip="Trypsin" w:history="1">
              <w:r w:rsidRPr="004A497F">
                <w:rPr>
                  <w:rStyle w:val="Hyperlink"/>
                  <w:color w:val="auto"/>
                  <w:sz w:val="18"/>
                  <w:u w:val="none"/>
                  <w:lang w:val="en"/>
                </w:rPr>
                <w:t>trypsin</w:t>
              </w:r>
            </w:hyperlink>
            <w:r w:rsidRPr="004A497F">
              <w:rPr>
                <w:sz w:val="18"/>
                <w:lang w:val="en"/>
              </w:rPr>
              <w:t xml:space="preserve"> and related proteolytic </w:t>
            </w:r>
            <w:hyperlink r:id="rId32" w:tooltip="Enzyme" w:history="1">
              <w:r w:rsidRPr="004A497F">
                <w:rPr>
                  <w:rStyle w:val="Hyperlink"/>
                  <w:color w:val="auto"/>
                  <w:sz w:val="18"/>
                  <w:u w:val="none"/>
                  <w:lang w:val="en"/>
                </w:rPr>
                <w:t>enzymes</w:t>
              </w:r>
            </w:hyperlink>
            <w:r w:rsidRPr="004A497F">
              <w:rPr>
                <w:sz w:val="18"/>
                <w:lang w:val="en"/>
              </w:rPr>
              <w:t xml:space="preserve">; Its action on </w:t>
            </w:r>
            <w:hyperlink r:id="rId33" w:tooltip="Kallikrein" w:history="1">
              <w:r w:rsidRPr="004A497F">
                <w:rPr>
                  <w:rStyle w:val="Hyperlink"/>
                  <w:color w:val="auto"/>
                  <w:sz w:val="18"/>
                  <w:u w:val="none"/>
                  <w:lang w:val="en"/>
                </w:rPr>
                <w:t>kallikrein</w:t>
              </w:r>
            </w:hyperlink>
            <w:r w:rsidRPr="004A497F">
              <w:rPr>
                <w:sz w:val="18"/>
                <w:lang w:val="en"/>
              </w:rPr>
              <w:t xml:space="preserve"> leads to the inhibition of the formation of </w:t>
            </w:r>
            <w:hyperlink r:id="rId34" w:tooltip="Factor XII" w:history="1">
              <w:r w:rsidRPr="004A497F">
                <w:rPr>
                  <w:rStyle w:val="Hyperlink"/>
                  <w:color w:val="auto"/>
                  <w:sz w:val="18"/>
                  <w:u w:val="none"/>
                  <w:lang w:val="en"/>
                </w:rPr>
                <w:t>factor XIIa</w:t>
              </w:r>
            </w:hyperlink>
            <w:r w:rsidRPr="004A497F">
              <w:rPr>
                <w:sz w:val="18"/>
                <w:lang w:val="en"/>
              </w:rPr>
              <w:t>. As a result, both the intrinsic pathway of coagulation and fibrinolysis are inhibited. Its action on plasmin independently slows fibrinolysis</w:t>
            </w:r>
            <w:r w:rsidRPr="00845CB8">
              <w:rPr>
                <w:color w:val="000000" w:themeColor="text1"/>
                <w:sz w:val="18"/>
                <w:lang w:val="en"/>
              </w:rPr>
              <w:t>.</w:t>
            </w:r>
            <w:hyperlink r:id="rId35" w:anchor="cite_note-Mannucci-4" w:history="1">
              <w:r w:rsidRPr="00845CB8">
                <w:rPr>
                  <w:color w:val="000000" w:themeColor="text1"/>
                  <w:u w:val="single"/>
                  <w:vertAlign w:val="superscript"/>
                  <w:lang w:val="en"/>
                </w:rPr>
                <w:t>[4]</w:t>
              </w:r>
            </w:hyperlink>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691943" w:rsidRPr="004A497F" w:rsidRDefault="002D0A8E"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U</w:t>
            </w:r>
            <w:r w:rsidR="00691457" w:rsidRPr="004A497F">
              <w:rPr>
                <w:rFonts w:ascii="Calibri" w:eastAsia="Times New Roman" w:hAnsi="Calibri" w:cs="Calibri"/>
                <w:color w:val="000000"/>
                <w:sz w:val="17"/>
                <w:szCs w:val="17"/>
              </w:rPr>
              <w:t>nknown</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1943" w:rsidRPr="004A497F" w:rsidRDefault="00691457" w:rsidP="00724DE5">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150 min</w:t>
            </w: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724DE5" w:rsidRPr="004A497F" w:rsidRDefault="00724DE5" w:rsidP="00724DE5">
            <w:pPr>
              <w:pStyle w:val="ListParagraph"/>
              <w:numPr>
                <w:ilvl w:val="0"/>
                <w:numId w:val="7"/>
              </w:numPr>
              <w:spacing w:after="0" w:line="240" w:lineRule="auto"/>
              <w:ind w:left="360"/>
              <w:rPr>
                <w:rFonts w:ascii="Calibri" w:eastAsia="Times New Roman" w:hAnsi="Calibri" w:cs="Calibri"/>
                <w:color w:val="000000"/>
                <w:sz w:val="17"/>
                <w:szCs w:val="17"/>
              </w:rPr>
            </w:pPr>
            <w:r w:rsidRPr="004A497F">
              <w:rPr>
                <w:rFonts w:ascii="Calibri" w:eastAsia="Times New Roman" w:hAnsi="Calibri" w:cs="Calibri"/>
                <w:color w:val="000000"/>
                <w:sz w:val="17"/>
                <w:szCs w:val="17"/>
              </w:rPr>
              <w:t>IV use during CABG for prevention of bleeding</w:t>
            </w:r>
          </w:p>
          <w:p w:rsidR="00724DE5" w:rsidRPr="004A497F" w:rsidRDefault="00724DE5"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p w:rsidR="00893431" w:rsidRPr="004A497F" w:rsidRDefault="00893431" w:rsidP="00724DE5">
            <w:pPr>
              <w:spacing w:after="0" w:line="240" w:lineRule="auto"/>
              <w:rPr>
                <w:rFonts w:ascii="Calibri" w:eastAsia="Times New Roman" w:hAnsi="Calibri" w:cs="Calibri"/>
                <w:color w:val="000000"/>
                <w:sz w:val="17"/>
                <w:szCs w:val="17"/>
              </w:rPr>
            </w:pP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tcPr>
          <w:p w:rsidR="00691943" w:rsidRPr="004A497F" w:rsidRDefault="00691943" w:rsidP="00480F9E">
            <w:pPr>
              <w:spacing w:after="0" w:line="240" w:lineRule="auto"/>
              <w:rPr>
                <w:rFonts w:ascii="Calibri" w:eastAsia="Times New Roman" w:hAnsi="Calibri" w:cs="Calibri"/>
                <w:color w:val="C00000"/>
                <w:sz w:val="17"/>
                <w:szCs w:val="17"/>
              </w:rPr>
            </w:pPr>
            <w:r w:rsidRPr="004A497F">
              <w:rPr>
                <w:rFonts w:ascii="Calibri" w:eastAsia="Times New Roman" w:hAnsi="Calibri" w:cs="Calibri"/>
                <w:color w:val="C00000"/>
                <w:sz w:val="17"/>
                <w:szCs w:val="17"/>
              </w:rPr>
              <w:t>TEG – Decreases LY30 if fibrinolysis present</w:t>
            </w: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C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691943" w:rsidRPr="004A497F" w:rsidRDefault="002D0A8E" w:rsidP="00480F9E">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D/C</w:t>
            </w:r>
            <w:r w:rsidR="00691457" w:rsidRPr="004A497F">
              <w:rPr>
                <w:rFonts w:ascii="Calibri" w:eastAsia="Times New Roman" w:hAnsi="Calibri" w:cs="Calibri"/>
                <w:color w:val="000000"/>
                <w:sz w:val="17"/>
                <w:szCs w:val="17"/>
              </w:rPr>
              <w:t xml:space="preserve"> agent</w:t>
            </w: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p w:rsidR="00893431" w:rsidRPr="004A497F" w:rsidRDefault="00893431" w:rsidP="00480F9E">
            <w:pPr>
              <w:spacing w:after="0" w:line="240" w:lineRule="auto"/>
              <w:rPr>
                <w:rFonts w:ascii="Calibri" w:eastAsia="Times New Roman" w:hAnsi="Calibri" w:cs="Calibri"/>
                <w:color w:val="000000"/>
                <w:sz w:val="17"/>
                <w:szCs w:val="17"/>
              </w:rPr>
            </w:pPr>
          </w:p>
        </w:tc>
      </w:tr>
      <w:tr w:rsidR="00893431" w:rsidRPr="00C75FF4" w:rsidTr="005B7380">
        <w:trPr>
          <w:trHeight w:val="440"/>
        </w:trPr>
        <w:tc>
          <w:tcPr>
            <w:tcW w:w="465" w:type="dxa"/>
            <w:tcBorders>
              <w:top w:val="single" w:sz="4" w:space="0" w:color="auto"/>
              <w:left w:val="single" w:sz="4" w:space="0" w:color="auto"/>
              <w:bottom w:val="single" w:sz="4" w:space="0" w:color="auto"/>
            </w:tcBorders>
            <w:vAlign w:val="center"/>
          </w:tcPr>
          <w:p w:rsidR="00893431" w:rsidRPr="00C75FF4" w:rsidRDefault="00893431" w:rsidP="005B7380">
            <w:pPr>
              <w:spacing w:after="0" w:line="240" w:lineRule="auto"/>
              <w:jc w:val="both"/>
              <w:rPr>
                <w:rFonts w:ascii="Calibri" w:eastAsia="Times New Roman" w:hAnsi="Calibri" w:cs="Calibri"/>
                <w:color w:val="000000"/>
                <w:sz w:val="20"/>
                <w:szCs w:val="20"/>
              </w:rPr>
            </w:pPr>
          </w:p>
        </w:tc>
        <w:tc>
          <w:tcPr>
            <w:tcW w:w="450" w:type="dxa"/>
            <w:gridSpan w:val="2"/>
            <w:tcBorders>
              <w:top w:val="single" w:sz="4" w:space="0" w:color="auto"/>
              <w:bottom w:val="single" w:sz="4" w:space="0" w:color="auto"/>
            </w:tcBorders>
            <w:shd w:val="clear" w:color="auto" w:fill="auto"/>
            <w:noWrap/>
            <w:vAlign w:val="bottom"/>
          </w:tcPr>
          <w:p w:rsidR="00893431" w:rsidRPr="00C75FF4" w:rsidRDefault="00893431" w:rsidP="00480F9E">
            <w:pPr>
              <w:spacing w:after="0" w:line="240" w:lineRule="auto"/>
              <w:rPr>
                <w:rFonts w:ascii="Calibri" w:eastAsia="Times New Roman" w:hAnsi="Calibri" w:cs="Calibri"/>
                <w:color w:val="000000"/>
                <w:sz w:val="20"/>
                <w:szCs w:val="20"/>
              </w:rPr>
            </w:pPr>
          </w:p>
        </w:tc>
        <w:tc>
          <w:tcPr>
            <w:tcW w:w="1260" w:type="dxa"/>
            <w:tcBorders>
              <w:top w:val="single" w:sz="4" w:space="0" w:color="auto"/>
              <w:bottom w:val="single" w:sz="4" w:space="0" w:color="auto"/>
            </w:tcBorders>
            <w:shd w:val="clear" w:color="auto" w:fill="auto"/>
            <w:vAlign w:val="bottom"/>
          </w:tcPr>
          <w:p w:rsidR="00893431" w:rsidRDefault="00893431"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Notes:</w:t>
            </w:r>
          </w:p>
          <w:p w:rsidR="005B7380" w:rsidRDefault="005B7380" w:rsidP="00480F9E">
            <w:pPr>
              <w:spacing w:after="0" w:line="240" w:lineRule="auto"/>
              <w:rPr>
                <w:rFonts w:ascii="Calibri" w:eastAsia="Times New Roman" w:hAnsi="Calibri" w:cs="Calibri"/>
                <w:color w:val="000000"/>
                <w:sz w:val="17"/>
                <w:szCs w:val="17"/>
              </w:rPr>
            </w:pPr>
          </w:p>
        </w:tc>
        <w:tc>
          <w:tcPr>
            <w:tcW w:w="1980" w:type="dxa"/>
            <w:gridSpan w:val="3"/>
            <w:tcBorders>
              <w:top w:val="single" w:sz="4" w:space="0" w:color="auto"/>
              <w:bottom w:val="single" w:sz="4" w:space="0" w:color="auto"/>
            </w:tcBorders>
            <w:shd w:val="clear" w:color="auto" w:fill="auto"/>
            <w:vAlign w:val="bottom"/>
          </w:tcPr>
          <w:p w:rsidR="00893431" w:rsidRPr="00691457" w:rsidRDefault="00893431" w:rsidP="002D0A8E">
            <w:pPr>
              <w:pStyle w:val="NormalWeb"/>
              <w:rPr>
                <w:sz w:val="18"/>
                <w:highlight w:val="yellow"/>
                <w:lang w:val="en"/>
              </w:rPr>
            </w:pPr>
          </w:p>
        </w:tc>
        <w:tc>
          <w:tcPr>
            <w:tcW w:w="1440" w:type="dxa"/>
            <w:gridSpan w:val="2"/>
            <w:tcBorders>
              <w:top w:val="single" w:sz="4" w:space="0" w:color="auto"/>
              <w:bottom w:val="single" w:sz="4" w:space="0" w:color="auto"/>
            </w:tcBorders>
            <w:shd w:val="clear" w:color="auto" w:fill="auto"/>
            <w:noWrap/>
            <w:vAlign w:val="bottom"/>
          </w:tcPr>
          <w:p w:rsidR="00893431" w:rsidRDefault="00893431" w:rsidP="00480F9E">
            <w:pPr>
              <w:spacing w:after="0" w:line="240" w:lineRule="auto"/>
              <w:rPr>
                <w:rFonts w:ascii="Calibri" w:eastAsia="Times New Roman" w:hAnsi="Calibri" w:cs="Calibri"/>
                <w:color w:val="000000"/>
                <w:sz w:val="17"/>
                <w:szCs w:val="17"/>
                <w:highlight w:val="yellow"/>
              </w:rPr>
            </w:pPr>
          </w:p>
        </w:tc>
        <w:tc>
          <w:tcPr>
            <w:tcW w:w="1800" w:type="dxa"/>
            <w:tcBorders>
              <w:top w:val="single" w:sz="4" w:space="0" w:color="auto"/>
              <w:bottom w:val="single" w:sz="4" w:space="0" w:color="auto"/>
            </w:tcBorders>
            <w:shd w:val="clear" w:color="auto" w:fill="auto"/>
            <w:noWrap/>
            <w:vAlign w:val="bottom"/>
          </w:tcPr>
          <w:p w:rsidR="00893431" w:rsidRPr="00724DE5" w:rsidRDefault="00893431" w:rsidP="00724DE5">
            <w:pPr>
              <w:spacing w:after="0" w:line="240" w:lineRule="auto"/>
              <w:rPr>
                <w:rFonts w:ascii="Calibri" w:eastAsia="Times New Roman" w:hAnsi="Calibri" w:cs="Calibri"/>
                <w:color w:val="000000"/>
                <w:sz w:val="17"/>
                <w:szCs w:val="17"/>
                <w:highlight w:val="yellow"/>
              </w:rPr>
            </w:pPr>
          </w:p>
        </w:tc>
        <w:tc>
          <w:tcPr>
            <w:tcW w:w="2970" w:type="dxa"/>
            <w:gridSpan w:val="2"/>
            <w:tcBorders>
              <w:top w:val="single" w:sz="4" w:space="0" w:color="auto"/>
              <w:bottom w:val="single" w:sz="4" w:space="0" w:color="auto"/>
            </w:tcBorders>
            <w:shd w:val="clear" w:color="auto" w:fill="auto"/>
            <w:noWrap/>
            <w:vAlign w:val="bottom"/>
          </w:tcPr>
          <w:p w:rsidR="00893431" w:rsidRPr="00724DE5" w:rsidRDefault="00893431" w:rsidP="004A497F">
            <w:pPr>
              <w:pStyle w:val="ListParagraph"/>
              <w:spacing w:after="0" w:line="240" w:lineRule="auto"/>
              <w:ind w:left="360"/>
              <w:rPr>
                <w:rFonts w:ascii="Calibri" w:eastAsia="Times New Roman" w:hAnsi="Calibri" w:cs="Calibri"/>
                <w:color w:val="000000"/>
                <w:sz w:val="17"/>
                <w:szCs w:val="17"/>
                <w:highlight w:val="yellow"/>
              </w:rPr>
            </w:pPr>
          </w:p>
        </w:tc>
        <w:tc>
          <w:tcPr>
            <w:tcW w:w="1890" w:type="dxa"/>
            <w:gridSpan w:val="2"/>
            <w:tcBorders>
              <w:top w:val="single" w:sz="4" w:space="0" w:color="auto"/>
              <w:bottom w:val="single" w:sz="4" w:space="0" w:color="auto"/>
            </w:tcBorders>
            <w:shd w:val="clear" w:color="auto" w:fill="auto"/>
            <w:noWrap/>
            <w:vAlign w:val="bottom"/>
          </w:tcPr>
          <w:p w:rsidR="00893431" w:rsidRPr="00691457" w:rsidRDefault="00893431" w:rsidP="00480F9E">
            <w:pPr>
              <w:spacing w:after="0" w:line="240" w:lineRule="auto"/>
              <w:rPr>
                <w:rFonts w:ascii="Calibri" w:eastAsia="Times New Roman" w:hAnsi="Calibri" w:cs="Calibri"/>
                <w:color w:val="C00000"/>
                <w:sz w:val="17"/>
                <w:szCs w:val="17"/>
                <w:highlight w:val="yellow"/>
              </w:rPr>
            </w:pPr>
          </w:p>
        </w:tc>
        <w:tc>
          <w:tcPr>
            <w:tcW w:w="2880" w:type="dxa"/>
            <w:tcBorders>
              <w:top w:val="single" w:sz="4" w:space="0" w:color="auto"/>
              <w:bottom w:val="single" w:sz="4" w:space="0" w:color="auto"/>
              <w:right w:val="single" w:sz="4" w:space="0" w:color="auto"/>
            </w:tcBorders>
            <w:shd w:val="clear" w:color="auto" w:fill="auto"/>
            <w:noWrap/>
            <w:vAlign w:val="bottom"/>
          </w:tcPr>
          <w:p w:rsidR="00893431" w:rsidRDefault="00893431" w:rsidP="00480F9E">
            <w:pPr>
              <w:spacing w:after="0" w:line="240" w:lineRule="auto"/>
              <w:rPr>
                <w:rFonts w:ascii="Calibri" w:eastAsia="Times New Roman" w:hAnsi="Calibri" w:cs="Calibri"/>
                <w:color w:val="000000"/>
                <w:sz w:val="17"/>
                <w:szCs w:val="17"/>
                <w:highlight w:val="yellow"/>
              </w:rPr>
            </w:pPr>
          </w:p>
        </w:tc>
      </w:tr>
    </w:tbl>
    <w:p w:rsidR="002D0A8E" w:rsidRDefault="002D0A8E">
      <w:pPr>
        <w:rPr>
          <w:sz w:val="20"/>
          <w:szCs w:val="20"/>
        </w:rPr>
      </w:pPr>
    </w:p>
    <w:p w:rsidR="003B014D" w:rsidRDefault="003B014D" w:rsidP="002A761B">
      <w:pPr>
        <w:spacing w:after="0" w:line="240" w:lineRule="auto"/>
        <w:rPr>
          <w:sz w:val="20"/>
          <w:szCs w:val="20"/>
        </w:rPr>
      </w:pPr>
      <w:r w:rsidRPr="00AE7DE6">
        <w:rPr>
          <w:b/>
          <w:sz w:val="20"/>
          <w:szCs w:val="20"/>
          <w:u w:val="single"/>
        </w:rPr>
        <w:t>Abbreviations</w:t>
      </w:r>
      <w:r>
        <w:rPr>
          <w:sz w:val="20"/>
          <w:szCs w:val="20"/>
        </w:rPr>
        <w:t>:</w:t>
      </w:r>
    </w:p>
    <w:p w:rsidR="003B014D" w:rsidRDefault="00E86199" w:rsidP="003B014D">
      <w:pPr>
        <w:pStyle w:val="ListParagraph"/>
        <w:numPr>
          <w:ilvl w:val="0"/>
          <w:numId w:val="7"/>
        </w:numPr>
        <w:spacing w:after="0" w:line="240" w:lineRule="auto"/>
        <w:rPr>
          <w:sz w:val="20"/>
          <w:szCs w:val="20"/>
        </w:rPr>
      </w:pPr>
      <w:r>
        <w:rPr>
          <w:sz w:val="20"/>
          <w:szCs w:val="20"/>
        </w:rPr>
        <w:t>ACS – Acute C</w:t>
      </w:r>
      <w:r w:rsidR="003B014D">
        <w:rPr>
          <w:sz w:val="20"/>
          <w:szCs w:val="20"/>
        </w:rPr>
        <w:t xml:space="preserve">oronary </w:t>
      </w:r>
      <w:r>
        <w:rPr>
          <w:sz w:val="20"/>
          <w:szCs w:val="20"/>
        </w:rPr>
        <w:t>S</w:t>
      </w:r>
      <w:r w:rsidR="003B014D">
        <w:rPr>
          <w:sz w:val="20"/>
          <w:szCs w:val="20"/>
        </w:rPr>
        <w:t>yndrome</w:t>
      </w:r>
    </w:p>
    <w:p w:rsidR="003B014D" w:rsidRDefault="00E86199" w:rsidP="003B014D">
      <w:pPr>
        <w:pStyle w:val="ListParagraph"/>
        <w:numPr>
          <w:ilvl w:val="0"/>
          <w:numId w:val="7"/>
        </w:numPr>
        <w:spacing w:after="0" w:line="240" w:lineRule="auto"/>
        <w:rPr>
          <w:sz w:val="20"/>
          <w:szCs w:val="20"/>
        </w:rPr>
      </w:pPr>
      <w:r>
        <w:rPr>
          <w:sz w:val="20"/>
          <w:szCs w:val="20"/>
        </w:rPr>
        <w:t>AF – Atrial F</w:t>
      </w:r>
      <w:r w:rsidR="003B014D">
        <w:rPr>
          <w:sz w:val="20"/>
          <w:szCs w:val="20"/>
        </w:rPr>
        <w:t>ibrillation</w:t>
      </w:r>
    </w:p>
    <w:p w:rsidR="003B014D" w:rsidRDefault="00E86199" w:rsidP="003B014D">
      <w:pPr>
        <w:pStyle w:val="ListParagraph"/>
        <w:numPr>
          <w:ilvl w:val="0"/>
          <w:numId w:val="7"/>
        </w:numPr>
        <w:spacing w:after="0" w:line="240" w:lineRule="auto"/>
        <w:rPr>
          <w:sz w:val="20"/>
          <w:szCs w:val="20"/>
        </w:rPr>
      </w:pPr>
      <w:r>
        <w:rPr>
          <w:sz w:val="20"/>
          <w:szCs w:val="20"/>
        </w:rPr>
        <w:t>DIC – D</w:t>
      </w:r>
      <w:r w:rsidR="003B014D">
        <w:rPr>
          <w:sz w:val="20"/>
          <w:szCs w:val="20"/>
        </w:rPr>
        <w:t xml:space="preserve">isseminated </w:t>
      </w:r>
      <w:r>
        <w:rPr>
          <w:sz w:val="20"/>
          <w:szCs w:val="20"/>
        </w:rPr>
        <w:t>I</w:t>
      </w:r>
      <w:r w:rsidR="003B014D">
        <w:rPr>
          <w:sz w:val="20"/>
          <w:szCs w:val="20"/>
        </w:rPr>
        <w:t xml:space="preserve">ntravascular </w:t>
      </w:r>
      <w:r>
        <w:rPr>
          <w:sz w:val="20"/>
          <w:szCs w:val="20"/>
        </w:rPr>
        <w:t>C</w:t>
      </w:r>
      <w:r w:rsidR="003B014D">
        <w:rPr>
          <w:sz w:val="20"/>
          <w:szCs w:val="20"/>
        </w:rPr>
        <w:t>oagulation</w:t>
      </w:r>
    </w:p>
    <w:p w:rsidR="003B014D" w:rsidRDefault="00E86199" w:rsidP="003B014D">
      <w:pPr>
        <w:pStyle w:val="ListParagraph"/>
        <w:numPr>
          <w:ilvl w:val="0"/>
          <w:numId w:val="7"/>
        </w:numPr>
        <w:spacing w:after="0" w:line="240" w:lineRule="auto"/>
        <w:rPr>
          <w:sz w:val="20"/>
          <w:szCs w:val="20"/>
        </w:rPr>
      </w:pPr>
      <w:r>
        <w:rPr>
          <w:sz w:val="20"/>
          <w:szCs w:val="20"/>
        </w:rPr>
        <w:t>DVT – Deep Venous T</w:t>
      </w:r>
      <w:r w:rsidR="003B014D">
        <w:rPr>
          <w:sz w:val="20"/>
          <w:szCs w:val="20"/>
        </w:rPr>
        <w:t>hrombosis</w:t>
      </w:r>
    </w:p>
    <w:p w:rsidR="003B014D" w:rsidRDefault="00E86199" w:rsidP="003B014D">
      <w:pPr>
        <w:pStyle w:val="ListParagraph"/>
        <w:numPr>
          <w:ilvl w:val="0"/>
          <w:numId w:val="7"/>
        </w:numPr>
        <w:spacing w:after="0" w:line="240" w:lineRule="auto"/>
        <w:rPr>
          <w:sz w:val="20"/>
          <w:szCs w:val="20"/>
        </w:rPr>
      </w:pPr>
      <w:r>
        <w:rPr>
          <w:sz w:val="20"/>
          <w:szCs w:val="20"/>
        </w:rPr>
        <w:t xml:space="preserve">ECT – </w:t>
      </w:r>
      <w:proofErr w:type="spellStart"/>
      <w:r>
        <w:rPr>
          <w:sz w:val="20"/>
          <w:szCs w:val="20"/>
        </w:rPr>
        <w:t>Ecarin</w:t>
      </w:r>
      <w:proofErr w:type="spellEnd"/>
      <w:r>
        <w:rPr>
          <w:sz w:val="20"/>
          <w:szCs w:val="20"/>
        </w:rPr>
        <w:t xml:space="preserve"> C</w:t>
      </w:r>
      <w:r w:rsidR="003B014D">
        <w:rPr>
          <w:sz w:val="20"/>
          <w:szCs w:val="20"/>
        </w:rPr>
        <w:t xml:space="preserve">lotting </w:t>
      </w:r>
      <w:r>
        <w:rPr>
          <w:sz w:val="20"/>
          <w:szCs w:val="20"/>
        </w:rPr>
        <w:t>T</w:t>
      </w:r>
      <w:r w:rsidR="003B014D">
        <w:rPr>
          <w:sz w:val="20"/>
          <w:szCs w:val="20"/>
        </w:rPr>
        <w:t>ime</w:t>
      </w:r>
    </w:p>
    <w:p w:rsidR="003B014D" w:rsidRDefault="003B014D" w:rsidP="003B014D">
      <w:pPr>
        <w:pStyle w:val="ListParagraph"/>
        <w:numPr>
          <w:ilvl w:val="0"/>
          <w:numId w:val="7"/>
        </w:numPr>
        <w:spacing w:after="0" w:line="240" w:lineRule="auto"/>
        <w:rPr>
          <w:sz w:val="20"/>
          <w:szCs w:val="20"/>
        </w:rPr>
      </w:pPr>
      <w:r>
        <w:rPr>
          <w:sz w:val="20"/>
          <w:szCs w:val="20"/>
        </w:rPr>
        <w:t xml:space="preserve">FFP – </w:t>
      </w:r>
      <w:r w:rsidR="00E86199">
        <w:rPr>
          <w:sz w:val="20"/>
          <w:szCs w:val="20"/>
        </w:rPr>
        <w:t>Fresh Frozen P</w:t>
      </w:r>
      <w:r>
        <w:rPr>
          <w:sz w:val="20"/>
          <w:szCs w:val="20"/>
        </w:rPr>
        <w:t>lasma</w:t>
      </w:r>
    </w:p>
    <w:p w:rsidR="003B014D" w:rsidRDefault="00E86199" w:rsidP="003B014D">
      <w:pPr>
        <w:pStyle w:val="ListParagraph"/>
        <w:numPr>
          <w:ilvl w:val="0"/>
          <w:numId w:val="7"/>
        </w:numPr>
        <w:spacing w:after="0" w:line="240" w:lineRule="auto"/>
        <w:rPr>
          <w:sz w:val="20"/>
          <w:szCs w:val="20"/>
        </w:rPr>
      </w:pPr>
      <w:r>
        <w:rPr>
          <w:sz w:val="20"/>
          <w:szCs w:val="20"/>
        </w:rPr>
        <w:t>HIT – Heparin-Induced T</w:t>
      </w:r>
      <w:r w:rsidR="003B014D">
        <w:rPr>
          <w:sz w:val="20"/>
          <w:szCs w:val="20"/>
        </w:rPr>
        <w:t>hrombocytopenia</w:t>
      </w:r>
    </w:p>
    <w:p w:rsidR="003B014D" w:rsidRDefault="00E86199" w:rsidP="003B014D">
      <w:pPr>
        <w:pStyle w:val="ListParagraph"/>
        <w:numPr>
          <w:ilvl w:val="0"/>
          <w:numId w:val="7"/>
        </w:numPr>
        <w:spacing w:after="0" w:line="240" w:lineRule="auto"/>
        <w:rPr>
          <w:sz w:val="20"/>
          <w:szCs w:val="20"/>
        </w:rPr>
      </w:pPr>
      <w:r>
        <w:rPr>
          <w:sz w:val="20"/>
          <w:szCs w:val="20"/>
        </w:rPr>
        <w:t>MI – Myocardial I</w:t>
      </w:r>
      <w:r w:rsidR="003B014D">
        <w:rPr>
          <w:sz w:val="20"/>
          <w:szCs w:val="20"/>
        </w:rPr>
        <w:t>nfarction</w:t>
      </w:r>
    </w:p>
    <w:p w:rsidR="003B014D" w:rsidRDefault="003B014D" w:rsidP="003B014D">
      <w:pPr>
        <w:pStyle w:val="ListParagraph"/>
        <w:numPr>
          <w:ilvl w:val="0"/>
          <w:numId w:val="7"/>
        </w:numPr>
        <w:spacing w:after="0" w:line="240" w:lineRule="auto"/>
        <w:rPr>
          <w:sz w:val="20"/>
          <w:szCs w:val="20"/>
        </w:rPr>
      </w:pPr>
      <w:r>
        <w:rPr>
          <w:sz w:val="20"/>
          <w:szCs w:val="20"/>
        </w:rPr>
        <w:t xml:space="preserve">PCCs – Prothrombin </w:t>
      </w:r>
      <w:r w:rsidR="00E86199">
        <w:rPr>
          <w:sz w:val="20"/>
          <w:szCs w:val="20"/>
        </w:rPr>
        <w:t>C</w:t>
      </w:r>
      <w:r>
        <w:rPr>
          <w:sz w:val="20"/>
          <w:szCs w:val="20"/>
        </w:rPr>
        <w:t xml:space="preserve">omplex </w:t>
      </w:r>
      <w:r w:rsidR="00E86199">
        <w:rPr>
          <w:sz w:val="20"/>
          <w:szCs w:val="20"/>
        </w:rPr>
        <w:t>C</w:t>
      </w:r>
      <w:r>
        <w:rPr>
          <w:sz w:val="20"/>
          <w:szCs w:val="20"/>
        </w:rPr>
        <w:t>oncentrates</w:t>
      </w:r>
    </w:p>
    <w:p w:rsidR="003B014D" w:rsidRDefault="00E86199" w:rsidP="003B014D">
      <w:pPr>
        <w:pStyle w:val="ListParagraph"/>
        <w:numPr>
          <w:ilvl w:val="0"/>
          <w:numId w:val="7"/>
        </w:numPr>
        <w:spacing w:after="0" w:line="240" w:lineRule="auto"/>
        <w:rPr>
          <w:sz w:val="20"/>
          <w:szCs w:val="20"/>
        </w:rPr>
      </w:pPr>
      <w:r>
        <w:rPr>
          <w:sz w:val="20"/>
          <w:szCs w:val="20"/>
        </w:rPr>
        <w:t>PCI – Percutaneous Coronary I</w:t>
      </w:r>
      <w:r w:rsidR="003B014D">
        <w:rPr>
          <w:sz w:val="20"/>
          <w:szCs w:val="20"/>
        </w:rPr>
        <w:t>ntervention</w:t>
      </w:r>
    </w:p>
    <w:p w:rsidR="003B014D" w:rsidRDefault="003B014D" w:rsidP="003B014D">
      <w:pPr>
        <w:pStyle w:val="ListParagraph"/>
        <w:numPr>
          <w:ilvl w:val="0"/>
          <w:numId w:val="7"/>
        </w:numPr>
        <w:spacing w:after="0" w:line="240" w:lineRule="auto"/>
        <w:rPr>
          <w:sz w:val="20"/>
          <w:szCs w:val="20"/>
        </w:rPr>
      </w:pPr>
      <w:r>
        <w:rPr>
          <w:sz w:val="20"/>
          <w:szCs w:val="20"/>
        </w:rPr>
        <w:t xml:space="preserve">PE – Pulmonary </w:t>
      </w:r>
      <w:r w:rsidR="00E86199">
        <w:rPr>
          <w:sz w:val="20"/>
          <w:szCs w:val="20"/>
        </w:rPr>
        <w:t>E</w:t>
      </w:r>
      <w:r>
        <w:rPr>
          <w:sz w:val="20"/>
          <w:szCs w:val="20"/>
        </w:rPr>
        <w:t>mbolism</w:t>
      </w:r>
    </w:p>
    <w:p w:rsidR="003B014D" w:rsidRDefault="003B014D" w:rsidP="003B014D">
      <w:pPr>
        <w:pStyle w:val="ListParagraph"/>
        <w:numPr>
          <w:ilvl w:val="0"/>
          <w:numId w:val="7"/>
        </w:numPr>
        <w:spacing w:after="0" w:line="240" w:lineRule="auto"/>
        <w:rPr>
          <w:sz w:val="20"/>
          <w:szCs w:val="20"/>
        </w:rPr>
      </w:pPr>
      <w:r>
        <w:rPr>
          <w:sz w:val="20"/>
          <w:szCs w:val="20"/>
        </w:rPr>
        <w:t xml:space="preserve">PTCA – Percutaneous </w:t>
      </w:r>
      <w:proofErr w:type="spellStart"/>
      <w:r w:rsidR="00E86199">
        <w:rPr>
          <w:sz w:val="20"/>
          <w:szCs w:val="20"/>
        </w:rPr>
        <w:t>Transluminal</w:t>
      </w:r>
      <w:proofErr w:type="spellEnd"/>
      <w:r w:rsidR="00E86199">
        <w:rPr>
          <w:sz w:val="20"/>
          <w:szCs w:val="20"/>
        </w:rPr>
        <w:t xml:space="preserve"> C</w:t>
      </w:r>
      <w:r>
        <w:rPr>
          <w:sz w:val="20"/>
          <w:szCs w:val="20"/>
        </w:rPr>
        <w:t xml:space="preserve">oronary </w:t>
      </w:r>
      <w:r w:rsidR="00E86199">
        <w:rPr>
          <w:sz w:val="20"/>
          <w:szCs w:val="20"/>
        </w:rPr>
        <w:t>A</w:t>
      </w:r>
      <w:r>
        <w:rPr>
          <w:sz w:val="20"/>
          <w:szCs w:val="20"/>
        </w:rPr>
        <w:t>ngioplasty</w:t>
      </w:r>
    </w:p>
    <w:p w:rsidR="00AE7DE6" w:rsidRDefault="00E86199" w:rsidP="003B014D">
      <w:pPr>
        <w:pStyle w:val="ListParagraph"/>
        <w:numPr>
          <w:ilvl w:val="0"/>
          <w:numId w:val="7"/>
        </w:numPr>
        <w:spacing w:after="0" w:line="240" w:lineRule="auto"/>
        <w:rPr>
          <w:sz w:val="20"/>
          <w:szCs w:val="20"/>
        </w:rPr>
      </w:pPr>
      <w:r>
        <w:rPr>
          <w:sz w:val="20"/>
          <w:szCs w:val="20"/>
        </w:rPr>
        <w:t>TT – Thrombin T</w:t>
      </w:r>
      <w:r w:rsidR="00AE7DE6">
        <w:rPr>
          <w:sz w:val="20"/>
          <w:szCs w:val="20"/>
        </w:rPr>
        <w:t>ime</w:t>
      </w:r>
    </w:p>
    <w:p w:rsidR="00AE7DE6" w:rsidRDefault="00E86199" w:rsidP="003B014D">
      <w:pPr>
        <w:pStyle w:val="ListParagraph"/>
        <w:numPr>
          <w:ilvl w:val="0"/>
          <w:numId w:val="7"/>
        </w:numPr>
        <w:spacing w:after="0" w:line="240" w:lineRule="auto"/>
        <w:rPr>
          <w:sz w:val="20"/>
          <w:szCs w:val="20"/>
        </w:rPr>
      </w:pPr>
      <w:r>
        <w:rPr>
          <w:sz w:val="20"/>
          <w:szCs w:val="20"/>
        </w:rPr>
        <w:t>VTE – Venous Thromboembolic E</w:t>
      </w:r>
      <w:r w:rsidR="00AE7DE6">
        <w:rPr>
          <w:sz w:val="20"/>
          <w:szCs w:val="20"/>
        </w:rPr>
        <w:t>vent</w:t>
      </w:r>
    </w:p>
    <w:p w:rsidR="00E4564D" w:rsidRDefault="00E4564D" w:rsidP="00E4564D">
      <w:pPr>
        <w:spacing w:after="0" w:line="240" w:lineRule="auto"/>
        <w:rPr>
          <w:sz w:val="20"/>
          <w:szCs w:val="20"/>
        </w:rPr>
      </w:pPr>
    </w:p>
    <w:p w:rsidR="00E4564D" w:rsidRPr="00E4564D" w:rsidRDefault="00E4564D" w:rsidP="00E4564D">
      <w:pPr>
        <w:spacing w:after="0" w:line="240" w:lineRule="auto"/>
        <w:rPr>
          <w:sz w:val="20"/>
          <w:szCs w:val="20"/>
        </w:rPr>
      </w:pPr>
    </w:p>
    <w:p w:rsidR="00480F9E" w:rsidRDefault="00480F9E">
      <w:pPr>
        <w:rPr>
          <w:sz w:val="20"/>
          <w:szCs w:val="20"/>
        </w:rPr>
      </w:pPr>
      <w:r>
        <w:rPr>
          <w:sz w:val="20"/>
          <w:szCs w:val="20"/>
        </w:rPr>
        <w:br w:type="page"/>
      </w:r>
    </w:p>
    <w:p w:rsidR="00C63321" w:rsidRDefault="00C63321" w:rsidP="00C63321">
      <w:pPr>
        <w:spacing w:after="0" w:line="240" w:lineRule="auto"/>
        <w:rPr>
          <w:sz w:val="20"/>
          <w:szCs w:val="20"/>
        </w:rPr>
      </w:pPr>
    </w:p>
    <w:tbl>
      <w:tblPr>
        <w:tblW w:w="15135" w:type="dxa"/>
        <w:tblInd w:w="93" w:type="dxa"/>
        <w:tblLayout w:type="fixed"/>
        <w:tblLook w:val="04A0" w:firstRow="1" w:lastRow="0" w:firstColumn="1" w:lastColumn="0" w:noHBand="0" w:noVBand="1"/>
      </w:tblPr>
      <w:tblGrid>
        <w:gridCol w:w="15135"/>
      </w:tblGrid>
      <w:tr w:rsidR="00C63321" w:rsidRPr="00C75FF4" w:rsidTr="00C63321">
        <w:trPr>
          <w:trHeight w:val="260"/>
        </w:trPr>
        <w:tc>
          <w:tcPr>
            <w:tcW w:w="15135" w:type="dxa"/>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C63321" w:rsidRPr="00C75FF4" w:rsidRDefault="00C63321" w:rsidP="00C6332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Blood Product Information</w:t>
            </w:r>
          </w:p>
        </w:tc>
      </w:tr>
      <w:tr w:rsidR="00C63321" w:rsidRPr="00C75FF4" w:rsidTr="00C63321">
        <w:trPr>
          <w:trHeight w:val="837"/>
        </w:trPr>
        <w:tc>
          <w:tcPr>
            <w:tcW w:w="15135" w:type="dxa"/>
            <w:tcBorders>
              <w:top w:val="single" w:sz="4" w:space="0" w:color="auto"/>
              <w:left w:val="single" w:sz="4" w:space="0" w:color="auto"/>
              <w:bottom w:val="single" w:sz="4" w:space="0" w:color="auto"/>
              <w:right w:val="single" w:sz="4" w:space="0" w:color="auto"/>
            </w:tcBorders>
            <w:vAlign w:val="center"/>
          </w:tcPr>
          <w:p w:rsidR="00C63321" w:rsidRDefault="00C63321" w:rsidP="00C6332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Fresh Frozen Plasma (FFP):</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1 unit having all factors and 800mg fibrinogen</w:t>
            </w:r>
          </w:p>
          <w:p w:rsidR="00AE3F94" w:rsidRDefault="00AE3F94" w:rsidP="00C63321">
            <w:pPr>
              <w:pStyle w:val="ListParagraph"/>
              <w:numPr>
                <w:ilvl w:val="0"/>
                <w:numId w:val="7"/>
              </w:numPr>
              <w:spacing w:after="0" w:line="240" w:lineRule="auto"/>
              <w:rPr>
                <w:rFonts w:ascii="Calibri" w:eastAsia="Times New Roman" w:hAnsi="Calibri" w:cs="Calibri"/>
                <w:color w:val="000000"/>
                <w:sz w:val="17"/>
                <w:szCs w:val="17"/>
              </w:rPr>
            </w:pPr>
            <w:r w:rsidRPr="003F219F">
              <w:rPr>
                <w:rFonts w:ascii="Calibri" w:eastAsia="Times New Roman" w:hAnsi="Calibri" w:cs="Calibri"/>
                <w:color w:val="C00000"/>
                <w:sz w:val="17"/>
                <w:szCs w:val="17"/>
              </w:rPr>
              <w:t>TEG – Decrease R</w:t>
            </w:r>
          </w:p>
          <w:p w:rsidR="00C63321" w:rsidRPr="00C63321" w:rsidRDefault="00C63321" w:rsidP="00C63321">
            <w:pPr>
              <w:spacing w:after="0" w:line="240" w:lineRule="auto"/>
              <w:rPr>
                <w:rFonts w:ascii="Calibri" w:eastAsia="Times New Roman" w:hAnsi="Calibri" w:cs="Calibri"/>
                <w:color w:val="000000"/>
                <w:sz w:val="17"/>
                <w:szCs w:val="17"/>
              </w:rPr>
            </w:pPr>
          </w:p>
        </w:tc>
      </w:tr>
      <w:tr w:rsidR="00C63321" w:rsidRPr="00C75FF4" w:rsidTr="00C63321">
        <w:trPr>
          <w:trHeight w:val="837"/>
        </w:trPr>
        <w:tc>
          <w:tcPr>
            <w:tcW w:w="15135" w:type="dxa"/>
            <w:tcBorders>
              <w:top w:val="single" w:sz="4" w:space="0" w:color="auto"/>
              <w:left w:val="single" w:sz="4" w:space="0" w:color="auto"/>
              <w:bottom w:val="single" w:sz="4" w:space="0" w:color="auto"/>
              <w:right w:val="single" w:sz="4" w:space="0" w:color="auto"/>
            </w:tcBorders>
            <w:vAlign w:val="center"/>
          </w:tcPr>
          <w:p w:rsidR="00C63321" w:rsidRDefault="00C63321" w:rsidP="00C6332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Cryoprecipitate (</w:t>
            </w:r>
            <w:proofErr w:type="spellStart"/>
            <w:r>
              <w:rPr>
                <w:rFonts w:ascii="Calibri" w:eastAsia="Times New Roman" w:hAnsi="Calibri" w:cs="Calibri"/>
                <w:color w:val="000000"/>
                <w:sz w:val="17"/>
                <w:szCs w:val="17"/>
              </w:rPr>
              <w:t>cryo</w:t>
            </w:r>
            <w:proofErr w:type="spellEnd"/>
            <w:r>
              <w:rPr>
                <w:rFonts w:ascii="Calibri" w:eastAsia="Times New Roman" w:hAnsi="Calibri" w:cs="Calibri"/>
                <w:color w:val="000000"/>
                <w:sz w:val="17"/>
                <w:szCs w:val="17"/>
              </w:rPr>
              <w:t>):</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1500mg fibrinogen in 6 bags or ‘one pool’ - </w:t>
            </w:r>
            <w:r w:rsidRPr="00C63321">
              <w:rPr>
                <w:rFonts w:ascii="Calibri" w:eastAsia="Times New Roman" w:hAnsi="Calibri" w:cs="Calibri"/>
                <w:color w:val="000000"/>
                <w:sz w:val="17"/>
                <w:szCs w:val="17"/>
              </w:rPr>
              <w:t>(</w:t>
            </w:r>
            <w:r>
              <w:rPr>
                <w:rFonts w:ascii="Calibri" w:eastAsia="Times New Roman" w:hAnsi="Calibri" w:cs="Calibri"/>
                <w:color w:val="000000"/>
                <w:sz w:val="17"/>
                <w:szCs w:val="17"/>
              </w:rPr>
              <w:t>s</w:t>
            </w:r>
            <w:r w:rsidRPr="00C63321">
              <w:rPr>
                <w:rFonts w:ascii="Calibri" w:eastAsia="Times New Roman" w:hAnsi="Calibri" w:cs="Calibri"/>
                <w:color w:val="000000"/>
                <w:sz w:val="17"/>
                <w:szCs w:val="17"/>
              </w:rPr>
              <w:t>mall children typically get smaller dose of 4 units with 350mg fibrinogen in each unit)</w:t>
            </w:r>
          </w:p>
          <w:p w:rsidR="00C63321" w:rsidRDefault="003F219F"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Includes v</w:t>
            </w:r>
            <w:r w:rsidR="00C63321">
              <w:rPr>
                <w:rFonts w:ascii="Calibri" w:eastAsia="Times New Roman" w:hAnsi="Calibri" w:cs="Calibri"/>
                <w:color w:val="000000"/>
                <w:sz w:val="17"/>
                <w:szCs w:val="17"/>
              </w:rPr>
              <w:t>WF, Factor VIII and Factor XIII</w:t>
            </w:r>
          </w:p>
          <w:p w:rsidR="003F219F" w:rsidRPr="00AE3F94" w:rsidRDefault="003F219F" w:rsidP="00C63321">
            <w:pPr>
              <w:pStyle w:val="ListParagraph"/>
              <w:numPr>
                <w:ilvl w:val="0"/>
                <w:numId w:val="7"/>
              </w:numPr>
              <w:spacing w:after="0" w:line="240" w:lineRule="auto"/>
              <w:rPr>
                <w:rFonts w:ascii="Calibri" w:eastAsia="Times New Roman" w:hAnsi="Calibri" w:cs="Calibri"/>
                <w:color w:val="000000"/>
                <w:sz w:val="17"/>
                <w:szCs w:val="17"/>
              </w:rPr>
            </w:pPr>
            <w:r w:rsidRPr="003F219F">
              <w:rPr>
                <w:rFonts w:ascii="Calibri" w:eastAsia="Times New Roman" w:hAnsi="Calibri" w:cs="Calibri"/>
                <w:color w:val="365F91" w:themeColor="accent1" w:themeShade="BF"/>
                <w:sz w:val="17"/>
                <w:szCs w:val="17"/>
              </w:rPr>
              <w:t xml:space="preserve">??? </w:t>
            </w:r>
            <w:proofErr w:type="gramStart"/>
            <w:r w:rsidRPr="003F219F">
              <w:rPr>
                <w:rFonts w:ascii="Calibri" w:eastAsia="Times New Roman" w:hAnsi="Calibri" w:cs="Calibri"/>
                <w:color w:val="365F91" w:themeColor="accent1" w:themeShade="BF"/>
                <w:sz w:val="17"/>
                <w:szCs w:val="17"/>
              </w:rPr>
              <w:t>different</w:t>
            </w:r>
            <w:proofErr w:type="gramEnd"/>
            <w:r w:rsidRPr="003F219F">
              <w:rPr>
                <w:rFonts w:ascii="Calibri" w:eastAsia="Times New Roman" w:hAnsi="Calibri" w:cs="Calibri"/>
                <w:color w:val="365F91" w:themeColor="accent1" w:themeShade="BF"/>
                <w:sz w:val="17"/>
                <w:szCs w:val="17"/>
              </w:rPr>
              <w:t xml:space="preserve"> than our drug table???</w:t>
            </w:r>
            <w:r w:rsidR="00BB43D5">
              <w:rPr>
                <w:rFonts w:ascii="Calibri" w:eastAsia="Times New Roman" w:hAnsi="Calibri" w:cs="Calibri"/>
                <w:color w:val="365F91" w:themeColor="accent1" w:themeShade="BF"/>
                <w:sz w:val="17"/>
                <w:szCs w:val="17"/>
              </w:rPr>
              <w:t xml:space="preserve">  </w:t>
            </w:r>
            <w:r w:rsidR="00BB43D5" w:rsidRPr="00BB43D5">
              <w:rPr>
                <w:rFonts w:ascii="Calibri" w:eastAsia="Times New Roman" w:hAnsi="Calibri" w:cs="Calibri"/>
                <w:color w:val="365F91" w:themeColor="accent1" w:themeShade="BF"/>
                <w:sz w:val="17"/>
                <w:szCs w:val="17"/>
                <w:highlight w:val="yellow"/>
              </w:rPr>
              <w:t xml:space="preserve">This is what I pull from text book but </w:t>
            </w:r>
            <w:proofErr w:type="spellStart"/>
            <w:r w:rsidR="00BB43D5" w:rsidRPr="00BB43D5">
              <w:rPr>
                <w:rFonts w:ascii="Calibri" w:eastAsia="Times New Roman" w:hAnsi="Calibri" w:cs="Calibri"/>
                <w:color w:val="365F91" w:themeColor="accent1" w:themeShade="BF"/>
                <w:sz w:val="17"/>
                <w:szCs w:val="17"/>
                <w:highlight w:val="yellow"/>
              </w:rPr>
              <w:t>lets</w:t>
            </w:r>
            <w:proofErr w:type="spellEnd"/>
            <w:r w:rsidR="00BB43D5" w:rsidRPr="00BB43D5">
              <w:rPr>
                <w:rFonts w:ascii="Calibri" w:eastAsia="Times New Roman" w:hAnsi="Calibri" w:cs="Calibri"/>
                <w:color w:val="365F91" w:themeColor="accent1" w:themeShade="BF"/>
                <w:sz w:val="17"/>
                <w:szCs w:val="17"/>
                <w:highlight w:val="yellow"/>
              </w:rPr>
              <w:t xml:space="preserve"> see what Mike/Jeff say…it could be there are 2 types?</w:t>
            </w:r>
          </w:p>
          <w:p w:rsidR="00AE3F94" w:rsidRDefault="00AE3F94" w:rsidP="00C63321">
            <w:pPr>
              <w:pStyle w:val="ListParagraph"/>
              <w:numPr>
                <w:ilvl w:val="0"/>
                <w:numId w:val="7"/>
              </w:numPr>
              <w:spacing w:after="0" w:line="240" w:lineRule="auto"/>
              <w:rPr>
                <w:rFonts w:ascii="Calibri" w:eastAsia="Times New Roman" w:hAnsi="Calibri" w:cs="Calibri"/>
                <w:color w:val="000000"/>
                <w:sz w:val="17"/>
                <w:szCs w:val="17"/>
              </w:rPr>
            </w:pPr>
            <w:r w:rsidRPr="003F219F">
              <w:rPr>
                <w:rFonts w:ascii="Calibri" w:eastAsia="Times New Roman" w:hAnsi="Calibri" w:cs="Calibri"/>
                <w:color w:val="C00000"/>
                <w:sz w:val="17"/>
                <w:szCs w:val="17"/>
              </w:rPr>
              <w:t>TEG – Decrease R</w:t>
            </w:r>
            <w:r>
              <w:rPr>
                <w:rFonts w:ascii="Calibri" w:eastAsia="Times New Roman" w:hAnsi="Calibri" w:cs="Calibri"/>
                <w:color w:val="C00000"/>
                <w:sz w:val="17"/>
                <w:szCs w:val="17"/>
              </w:rPr>
              <w:t xml:space="preserve"> &amp; Increase alpha</w:t>
            </w:r>
          </w:p>
          <w:p w:rsidR="00C63321" w:rsidRPr="00C63321" w:rsidRDefault="00C63321" w:rsidP="00C63321">
            <w:pPr>
              <w:spacing w:after="0" w:line="240" w:lineRule="auto"/>
              <w:rPr>
                <w:rFonts w:ascii="Calibri" w:eastAsia="Times New Roman" w:hAnsi="Calibri" w:cs="Calibri"/>
                <w:color w:val="000000"/>
                <w:sz w:val="17"/>
                <w:szCs w:val="17"/>
              </w:rPr>
            </w:pPr>
          </w:p>
        </w:tc>
      </w:tr>
      <w:tr w:rsidR="00C63321" w:rsidRPr="00C75FF4" w:rsidTr="00C63321">
        <w:trPr>
          <w:trHeight w:val="837"/>
        </w:trPr>
        <w:tc>
          <w:tcPr>
            <w:tcW w:w="15135" w:type="dxa"/>
            <w:tcBorders>
              <w:top w:val="single" w:sz="4" w:space="0" w:color="auto"/>
              <w:left w:val="single" w:sz="4" w:space="0" w:color="auto"/>
              <w:bottom w:val="single" w:sz="4" w:space="0" w:color="auto"/>
              <w:right w:val="single" w:sz="4" w:space="0" w:color="auto"/>
            </w:tcBorders>
            <w:vAlign w:val="center"/>
          </w:tcPr>
          <w:p w:rsidR="00C63321" w:rsidRDefault="00C63321" w:rsidP="00C6332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Platelets:</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Up to 8 units of ‘pooled’ platelets from separate donors can go into one bag for transfusion – or apheresis platelets can be given which are single donor and equivalent of 4-6 units pooled</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You will get 200-400ml of plasma with platelets with both</w:t>
            </w:r>
          </w:p>
          <w:p w:rsidR="00C63321" w:rsidRPr="00C63321" w:rsidRDefault="00C63321" w:rsidP="00C63321">
            <w:pPr>
              <w:spacing w:after="0" w:line="240" w:lineRule="auto"/>
              <w:ind w:left="360"/>
              <w:rPr>
                <w:rFonts w:ascii="Calibri" w:eastAsia="Times New Roman" w:hAnsi="Calibri" w:cs="Calibri"/>
                <w:color w:val="000000"/>
                <w:sz w:val="17"/>
                <w:szCs w:val="17"/>
              </w:rPr>
            </w:pPr>
          </w:p>
        </w:tc>
      </w:tr>
      <w:tr w:rsidR="00C63321" w:rsidRPr="00C75FF4" w:rsidTr="00C63321">
        <w:trPr>
          <w:trHeight w:val="837"/>
        </w:trPr>
        <w:tc>
          <w:tcPr>
            <w:tcW w:w="15135" w:type="dxa"/>
            <w:tcBorders>
              <w:top w:val="single" w:sz="4" w:space="0" w:color="auto"/>
              <w:left w:val="single" w:sz="4" w:space="0" w:color="auto"/>
              <w:bottom w:val="single" w:sz="4" w:space="0" w:color="auto"/>
              <w:right w:val="single" w:sz="4" w:space="0" w:color="auto"/>
            </w:tcBorders>
            <w:vAlign w:val="center"/>
          </w:tcPr>
          <w:p w:rsidR="00C63321" w:rsidRDefault="00C63321" w:rsidP="00C6332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3 Factor PCC:</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Factors II, IX, X</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Prothrombin Complex Concentrate (human) is indicated for urgent reversal of acquired coagulation factor deficiency induces by vitamin K antagonist (VKA, </w:t>
            </w:r>
            <w:proofErr w:type="spellStart"/>
            <w:r>
              <w:rPr>
                <w:rFonts w:ascii="Calibri" w:eastAsia="Times New Roman" w:hAnsi="Calibri" w:cs="Calibri"/>
                <w:color w:val="000000"/>
                <w:sz w:val="17"/>
                <w:szCs w:val="17"/>
              </w:rPr>
              <w:t>eg</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Warafin</w:t>
            </w:r>
            <w:proofErr w:type="spellEnd"/>
            <w:r>
              <w:rPr>
                <w:rFonts w:ascii="Calibri" w:eastAsia="Times New Roman" w:hAnsi="Calibri" w:cs="Calibri"/>
                <w:color w:val="000000"/>
                <w:sz w:val="17"/>
                <w:szCs w:val="17"/>
              </w:rPr>
              <w:t>) therapy in adult patients with acute major bleeding</w:t>
            </w:r>
          </w:p>
          <w:p w:rsidR="003F219F" w:rsidRDefault="003F219F" w:rsidP="00C63321">
            <w:pPr>
              <w:pStyle w:val="ListParagraph"/>
              <w:numPr>
                <w:ilvl w:val="0"/>
                <w:numId w:val="7"/>
              </w:numPr>
              <w:spacing w:after="0" w:line="240" w:lineRule="auto"/>
              <w:rPr>
                <w:rFonts w:ascii="Calibri" w:eastAsia="Times New Roman" w:hAnsi="Calibri" w:cs="Calibri"/>
                <w:color w:val="000000"/>
                <w:sz w:val="17"/>
                <w:szCs w:val="17"/>
              </w:rPr>
            </w:pPr>
            <w:r w:rsidRPr="003F219F">
              <w:rPr>
                <w:rFonts w:ascii="Calibri" w:eastAsia="Times New Roman" w:hAnsi="Calibri" w:cs="Calibri"/>
                <w:color w:val="C00000"/>
                <w:sz w:val="17"/>
                <w:szCs w:val="17"/>
              </w:rPr>
              <w:t>TEG – Decrease R</w:t>
            </w:r>
          </w:p>
          <w:p w:rsidR="00C63321" w:rsidRPr="00C63321" w:rsidRDefault="00C63321" w:rsidP="003F219F">
            <w:pPr>
              <w:pStyle w:val="ListParagraph"/>
              <w:spacing w:after="0" w:line="240" w:lineRule="auto"/>
              <w:rPr>
                <w:rFonts w:ascii="Calibri" w:eastAsia="Times New Roman" w:hAnsi="Calibri" w:cs="Calibri"/>
                <w:color w:val="000000"/>
                <w:sz w:val="17"/>
                <w:szCs w:val="17"/>
              </w:rPr>
            </w:pPr>
          </w:p>
        </w:tc>
      </w:tr>
      <w:tr w:rsidR="00C63321" w:rsidRPr="00C75FF4" w:rsidTr="00C63321">
        <w:trPr>
          <w:trHeight w:val="837"/>
        </w:trPr>
        <w:tc>
          <w:tcPr>
            <w:tcW w:w="15135" w:type="dxa"/>
            <w:tcBorders>
              <w:top w:val="single" w:sz="4" w:space="0" w:color="auto"/>
              <w:left w:val="single" w:sz="4" w:space="0" w:color="auto"/>
              <w:bottom w:val="single" w:sz="4" w:space="0" w:color="auto"/>
              <w:right w:val="single" w:sz="4" w:space="0" w:color="auto"/>
            </w:tcBorders>
            <w:vAlign w:val="center"/>
          </w:tcPr>
          <w:p w:rsidR="00C63321" w:rsidRDefault="00C63321" w:rsidP="00C6332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4 Factor PCC:</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Factors II, VII, IX, X</w:t>
            </w:r>
          </w:p>
          <w:p w:rsidR="00C63321" w:rsidRPr="00B74398" w:rsidRDefault="00C63321" w:rsidP="00C63321">
            <w:pPr>
              <w:pStyle w:val="ListParagraph"/>
              <w:numPr>
                <w:ilvl w:val="0"/>
                <w:numId w:val="7"/>
              </w:numPr>
              <w:spacing w:after="0" w:line="240" w:lineRule="auto"/>
              <w:rPr>
                <w:rFonts w:ascii="Calibri" w:eastAsia="Times New Roman" w:hAnsi="Calibri" w:cs="Calibri"/>
                <w:color w:val="365F91" w:themeColor="accent1" w:themeShade="BF"/>
                <w:sz w:val="17"/>
                <w:szCs w:val="17"/>
              </w:rPr>
            </w:pPr>
            <w:proofErr w:type="spellStart"/>
            <w:r w:rsidRPr="00B74398">
              <w:rPr>
                <w:rFonts w:ascii="Calibri" w:eastAsia="Times New Roman" w:hAnsi="Calibri" w:cs="Calibri"/>
                <w:color w:val="365F91" w:themeColor="accent1" w:themeShade="BF"/>
                <w:sz w:val="17"/>
                <w:szCs w:val="17"/>
              </w:rPr>
              <w:t>KCentra</w:t>
            </w:r>
            <w:proofErr w:type="spellEnd"/>
            <w:r w:rsidR="00B74398" w:rsidRPr="00B74398">
              <w:rPr>
                <w:rFonts w:ascii="Calibri" w:eastAsia="Times New Roman" w:hAnsi="Calibri" w:cs="Calibri"/>
                <w:color w:val="365F91" w:themeColor="accent1" w:themeShade="BF"/>
                <w:sz w:val="17"/>
                <w:szCs w:val="17"/>
              </w:rPr>
              <w:t xml:space="preserve"> </w:t>
            </w:r>
          </w:p>
          <w:p w:rsidR="00C63321" w:rsidRDefault="00C63321" w:rsidP="00C6332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Prothrombin Complex Concentrate (human) is indicated for urgent reversal of acquired coagulation factor deficiency induces by vitamin K antagonist (VKA, </w:t>
            </w:r>
            <w:proofErr w:type="spellStart"/>
            <w:r>
              <w:rPr>
                <w:rFonts w:ascii="Calibri" w:eastAsia="Times New Roman" w:hAnsi="Calibri" w:cs="Calibri"/>
                <w:color w:val="000000"/>
                <w:sz w:val="17"/>
                <w:szCs w:val="17"/>
              </w:rPr>
              <w:t>eg</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Warafin</w:t>
            </w:r>
            <w:proofErr w:type="spellEnd"/>
            <w:r>
              <w:rPr>
                <w:rFonts w:ascii="Calibri" w:eastAsia="Times New Roman" w:hAnsi="Calibri" w:cs="Calibri"/>
                <w:color w:val="000000"/>
                <w:sz w:val="17"/>
                <w:szCs w:val="17"/>
              </w:rPr>
              <w:t>) therapy in adult patients with acute major bleeding</w:t>
            </w:r>
          </w:p>
          <w:p w:rsidR="003F219F" w:rsidRDefault="003F219F" w:rsidP="00C63321">
            <w:pPr>
              <w:pStyle w:val="ListParagraph"/>
              <w:numPr>
                <w:ilvl w:val="0"/>
                <w:numId w:val="7"/>
              </w:numPr>
              <w:spacing w:after="0" w:line="240" w:lineRule="auto"/>
              <w:rPr>
                <w:rFonts w:ascii="Calibri" w:eastAsia="Times New Roman" w:hAnsi="Calibri" w:cs="Calibri"/>
                <w:color w:val="000000"/>
                <w:sz w:val="17"/>
                <w:szCs w:val="17"/>
              </w:rPr>
            </w:pPr>
            <w:r w:rsidRPr="003F219F">
              <w:rPr>
                <w:rFonts w:ascii="Calibri" w:eastAsia="Times New Roman" w:hAnsi="Calibri" w:cs="Calibri"/>
                <w:color w:val="C00000"/>
                <w:sz w:val="17"/>
                <w:szCs w:val="17"/>
              </w:rPr>
              <w:t>TEG – Decrease R</w:t>
            </w:r>
          </w:p>
          <w:p w:rsidR="00C63321" w:rsidRPr="00C63321" w:rsidRDefault="00C63321" w:rsidP="00C63321">
            <w:pPr>
              <w:pStyle w:val="ListParagraph"/>
              <w:spacing w:after="0" w:line="240" w:lineRule="auto"/>
              <w:rPr>
                <w:rFonts w:ascii="Calibri" w:eastAsia="Times New Roman" w:hAnsi="Calibri" w:cs="Calibri"/>
                <w:color w:val="000000"/>
                <w:sz w:val="17"/>
                <w:szCs w:val="17"/>
              </w:rPr>
            </w:pPr>
          </w:p>
        </w:tc>
      </w:tr>
      <w:tr w:rsidR="00C63321" w:rsidRPr="00C75FF4" w:rsidTr="00C63321">
        <w:trPr>
          <w:trHeight w:val="837"/>
        </w:trPr>
        <w:tc>
          <w:tcPr>
            <w:tcW w:w="15135" w:type="dxa"/>
            <w:tcBorders>
              <w:top w:val="single" w:sz="4" w:space="0" w:color="auto"/>
              <w:left w:val="single" w:sz="4" w:space="0" w:color="auto"/>
              <w:bottom w:val="single" w:sz="4" w:space="0" w:color="auto"/>
              <w:right w:val="single" w:sz="4" w:space="0" w:color="auto"/>
            </w:tcBorders>
            <w:vAlign w:val="center"/>
          </w:tcPr>
          <w:p w:rsidR="00C63321" w:rsidRDefault="00447F5A" w:rsidP="00C6332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Factor </w:t>
            </w:r>
            <w:proofErr w:type="spellStart"/>
            <w:r>
              <w:rPr>
                <w:rFonts w:ascii="Calibri" w:eastAsia="Times New Roman" w:hAnsi="Calibri" w:cs="Calibri"/>
                <w:color w:val="000000"/>
                <w:sz w:val="17"/>
                <w:szCs w:val="17"/>
              </w:rPr>
              <w:t>VIIa</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Novoseven</w:t>
            </w:r>
            <w:proofErr w:type="spellEnd"/>
            <w:r>
              <w:rPr>
                <w:rFonts w:ascii="Calibri" w:eastAsia="Times New Roman" w:hAnsi="Calibri" w:cs="Calibri"/>
                <w:color w:val="000000"/>
                <w:sz w:val="17"/>
                <w:szCs w:val="17"/>
              </w:rPr>
              <w:t>):</w:t>
            </w:r>
          </w:p>
          <w:p w:rsidR="00447F5A" w:rsidRDefault="00447F5A" w:rsidP="00447F5A">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Coagulation Factor </w:t>
            </w:r>
            <w:proofErr w:type="spellStart"/>
            <w:r>
              <w:rPr>
                <w:rFonts w:ascii="Calibri" w:eastAsia="Times New Roman" w:hAnsi="Calibri" w:cs="Calibri"/>
                <w:color w:val="000000"/>
                <w:sz w:val="17"/>
                <w:szCs w:val="17"/>
              </w:rPr>
              <w:t>VIIa</w:t>
            </w:r>
            <w:proofErr w:type="spellEnd"/>
            <w:r>
              <w:rPr>
                <w:rFonts w:ascii="Calibri" w:eastAsia="Times New Roman" w:hAnsi="Calibri" w:cs="Calibri"/>
                <w:color w:val="000000"/>
                <w:sz w:val="17"/>
                <w:szCs w:val="17"/>
              </w:rPr>
              <w:t xml:space="preserve"> (recombinant) is indicated for use in the treatment of bleeding episodes in hemophilia A or B patients with inhibitors to Factor VIII or Factor IX</w:t>
            </w:r>
          </w:p>
          <w:p w:rsidR="003F219F" w:rsidRPr="00447F5A" w:rsidRDefault="003F219F" w:rsidP="00447F5A">
            <w:pPr>
              <w:pStyle w:val="ListParagraph"/>
              <w:numPr>
                <w:ilvl w:val="0"/>
                <w:numId w:val="7"/>
              </w:numPr>
              <w:spacing w:after="0" w:line="240" w:lineRule="auto"/>
              <w:rPr>
                <w:rFonts w:ascii="Calibri" w:eastAsia="Times New Roman" w:hAnsi="Calibri" w:cs="Calibri"/>
                <w:color w:val="000000"/>
                <w:sz w:val="17"/>
                <w:szCs w:val="17"/>
              </w:rPr>
            </w:pPr>
            <w:r w:rsidRPr="003F219F">
              <w:rPr>
                <w:rFonts w:ascii="Calibri" w:eastAsia="Times New Roman" w:hAnsi="Calibri" w:cs="Calibri"/>
                <w:color w:val="C00000"/>
                <w:sz w:val="17"/>
                <w:szCs w:val="17"/>
              </w:rPr>
              <w:t>TEG – Decrease R</w:t>
            </w:r>
          </w:p>
        </w:tc>
      </w:tr>
      <w:tr w:rsidR="00447F5A" w:rsidRPr="00C75FF4" w:rsidTr="000E5487">
        <w:trPr>
          <w:trHeight w:val="1754"/>
        </w:trPr>
        <w:tc>
          <w:tcPr>
            <w:tcW w:w="15135" w:type="dxa"/>
            <w:tcBorders>
              <w:top w:val="single" w:sz="4" w:space="0" w:color="auto"/>
              <w:left w:val="single" w:sz="4" w:space="0" w:color="auto"/>
              <w:bottom w:val="single" w:sz="4" w:space="0" w:color="auto"/>
              <w:right w:val="single" w:sz="4" w:space="0" w:color="auto"/>
            </w:tcBorders>
            <w:vAlign w:val="center"/>
          </w:tcPr>
          <w:p w:rsidR="00447F5A" w:rsidRPr="004A497F" w:rsidRDefault="00447F5A" w:rsidP="00C63321">
            <w:pPr>
              <w:spacing w:after="0" w:line="240" w:lineRule="auto"/>
              <w:rPr>
                <w:rFonts w:ascii="Calibri" w:eastAsia="Times New Roman" w:hAnsi="Calibri" w:cs="Calibri"/>
                <w:color w:val="000000"/>
                <w:sz w:val="17"/>
                <w:szCs w:val="17"/>
              </w:rPr>
            </w:pPr>
            <w:r w:rsidRPr="004A497F">
              <w:rPr>
                <w:rFonts w:ascii="Calibri" w:eastAsia="Times New Roman" w:hAnsi="Calibri" w:cs="Calibri"/>
                <w:color w:val="000000"/>
                <w:sz w:val="17"/>
                <w:szCs w:val="17"/>
              </w:rPr>
              <w:t>Fibrinogen Concentrate:</w:t>
            </w:r>
          </w:p>
          <w:p w:rsidR="00BB43D5" w:rsidRPr="004A497F" w:rsidRDefault="00BB43D5" w:rsidP="00C63321">
            <w:pPr>
              <w:spacing w:after="0" w:line="240" w:lineRule="auto"/>
              <w:rPr>
                <w:rFonts w:ascii="Calibri" w:eastAsia="Times New Roman" w:hAnsi="Calibri" w:cs="Calibri"/>
                <w:color w:val="000000"/>
                <w:sz w:val="17"/>
                <w:szCs w:val="17"/>
              </w:rPr>
            </w:pPr>
          </w:p>
          <w:p w:rsidR="00BB43D5" w:rsidRPr="004A497F" w:rsidRDefault="00BB43D5" w:rsidP="004A497F">
            <w:pPr>
              <w:pStyle w:val="ListParagraph"/>
              <w:numPr>
                <w:ilvl w:val="0"/>
                <w:numId w:val="14"/>
              </w:numPr>
              <w:spacing w:after="0" w:line="240" w:lineRule="auto"/>
              <w:rPr>
                <w:rFonts w:eastAsia="Times New Roman" w:cstheme="minorHAnsi"/>
                <w:color w:val="000000"/>
                <w:sz w:val="17"/>
                <w:szCs w:val="17"/>
              </w:rPr>
            </w:pPr>
            <w:proofErr w:type="spellStart"/>
            <w:r w:rsidRPr="004A497F">
              <w:rPr>
                <w:rFonts w:cstheme="minorHAnsi"/>
                <w:b/>
                <w:bCs/>
                <w:sz w:val="17"/>
                <w:szCs w:val="17"/>
              </w:rPr>
              <w:t>Haemocomplettan</w:t>
            </w:r>
            <w:proofErr w:type="spellEnd"/>
            <w:r w:rsidRPr="004A497F">
              <w:rPr>
                <w:rFonts w:cstheme="minorHAnsi"/>
                <w:b/>
                <w:bCs/>
                <w:sz w:val="17"/>
                <w:szCs w:val="17"/>
              </w:rPr>
              <w:t>/</w:t>
            </w:r>
            <w:proofErr w:type="spellStart"/>
            <w:r w:rsidRPr="004A497F">
              <w:rPr>
                <w:rFonts w:cstheme="minorHAnsi"/>
                <w:b/>
                <w:bCs/>
                <w:sz w:val="17"/>
                <w:szCs w:val="17"/>
              </w:rPr>
              <w:t>RiaSTAP</w:t>
            </w:r>
            <w:r w:rsidRPr="004A497F">
              <w:rPr>
                <w:rFonts w:cstheme="minorHAnsi"/>
                <w:sz w:val="17"/>
                <w:szCs w:val="17"/>
              </w:rPr>
              <w:t>HFCP</w:t>
            </w:r>
            <w:proofErr w:type="spellEnd"/>
            <w:r w:rsidRPr="004A497F">
              <w:rPr>
                <w:rFonts w:cstheme="minorHAnsi"/>
                <w:sz w:val="17"/>
                <w:szCs w:val="17"/>
              </w:rPr>
              <w:t xml:space="preserve"> for use in the US is made from US licensed human plasma and contains US licensed human albumin as a stabilizer.</w:t>
            </w:r>
          </w:p>
          <w:p w:rsidR="00BB43D5" w:rsidRPr="004A497F" w:rsidRDefault="00BB43D5" w:rsidP="004A497F">
            <w:pPr>
              <w:pStyle w:val="NormalWeb"/>
              <w:numPr>
                <w:ilvl w:val="0"/>
                <w:numId w:val="14"/>
              </w:numPr>
              <w:rPr>
                <w:rFonts w:asciiTheme="minorHAnsi" w:hAnsiTheme="minorHAnsi" w:cstheme="minorHAnsi"/>
                <w:sz w:val="17"/>
                <w:szCs w:val="17"/>
              </w:rPr>
            </w:pPr>
            <w:r w:rsidRPr="004A497F">
              <w:rPr>
                <w:rFonts w:asciiTheme="minorHAnsi" w:hAnsiTheme="minorHAnsi" w:cstheme="minorHAnsi"/>
                <w:sz w:val="17"/>
                <w:szCs w:val="17"/>
              </w:rPr>
              <w:t xml:space="preserve">HFCP is a sterile, preservative-free, lyophilized fibrinogen concentrate in a single-use 100 ml vial. The amount of HFCP is approximately 1 g of fibrinogen with the actual potency for each lot indicated on the vial label and carton. HFCP is reconstituted with 50 mL Sterile Water for Injection (~20 mg/mL) and is administered intravenously. Each vial contains 900 to 1300 mg fibrinogen, 400 to 700 mg human albumin, 375 to 660 mg L-arginine hydrochloride, 200 to 350 mg sodium chloride and 50 to 100 mg sodium citrate. Sodium hydroxide and hydrochloric acid may be added to adjust the </w:t>
            </w:r>
            <w:proofErr w:type="spellStart"/>
            <w:r w:rsidRPr="004A497F">
              <w:rPr>
                <w:rFonts w:asciiTheme="minorHAnsi" w:hAnsiTheme="minorHAnsi" w:cstheme="minorHAnsi"/>
                <w:sz w:val="17"/>
                <w:szCs w:val="17"/>
              </w:rPr>
              <w:t>pH.</w:t>
            </w:r>
            <w:proofErr w:type="spellEnd"/>
          </w:p>
          <w:p w:rsidR="00447F5A" w:rsidRPr="004A497F" w:rsidRDefault="00BB43D5" w:rsidP="004A497F">
            <w:pPr>
              <w:pStyle w:val="NormalWeb"/>
              <w:numPr>
                <w:ilvl w:val="0"/>
                <w:numId w:val="14"/>
              </w:numPr>
              <w:rPr>
                <w:rFonts w:asciiTheme="minorHAnsi" w:hAnsiTheme="minorHAnsi" w:cstheme="minorHAnsi"/>
                <w:sz w:val="17"/>
                <w:szCs w:val="17"/>
              </w:rPr>
            </w:pPr>
            <w:r w:rsidRPr="004A497F">
              <w:rPr>
                <w:rFonts w:asciiTheme="minorHAnsi" w:hAnsiTheme="minorHAnsi" w:cstheme="minorHAnsi"/>
                <w:sz w:val="17"/>
                <w:szCs w:val="17"/>
              </w:rPr>
              <w:t>HFCP is indicated for the treatment of congenital fibrinogen deficiency. The recommended initial dose is 70 mg per kg body weight with subsequent doses depending on target and measured fibrinogen levels. The infusion rate should not exceed 5 mL per minute (100 mg/minute).</w:t>
            </w:r>
          </w:p>
        </w:tc>
      </w:tr>
    </w:tbl>
    <w:p w:rsidR="00C63321" w:rsidRDefault="00C63321" w:rsidP="00C63321">
      <w:pPr>
        <w:spacing w:after="0" w:line="240" w:lineRule="auto"/>
        <w:rPr>
          <w:sz w:val="20"/>
          <w:szCs w:val="20"/>
        </w:rPr>
      </w:pPr>
    </w:p>
    <w:p w:rsidR="00C63321" w:rsidRDefault="00C63321" w:rsidP="00C63321">
      <w:pPr>
        <w:spacing w:after="0" w:line="240" w:lineRule="auto"/>
        <w:rPr>
          <w:sz w:val="20"/>
          <w:szCs w:val="20"/>
        </w:rPr>
      </w:pPr>
    </w:p>
    <w:p w:rsidR="00C63321" w:rsidRDefault="00C63321">
      <w:pPr>
        <w:rPr>
          <w:sz w:val="20"/>
          <w:szCs w:val="20"/>
        </w:rPr>
      </w:pPr>
      <w:r>
        <w:rPr>
          <w:sz w:val="20"/>
          <w:szCs w:val="20"/>
        </w:rPr>
        <w:br w:type="page"/>
      </w:r>
    </w:p>
    <w:tbl>
      <w:tblPr>
        <w:tblW w:w="15135" w:type="dxa"/>
        <w:tblInd w:w="93" w:type="dxa"/>
        <w:tblLayout w:type="fixed"/>
        <w:tblLook w:val="04A0" w:firstRow="1" w:lastRow="0" w:firstColumn="1" w:lastColumn="0" w:noHBand="0" w:noVBand="1"/>
      </w:tblPr>
      <w:tblGrid>
        <w:gridCol w:w="3027"/>
        <w:gridCol w:w="3027"/>
        <w:gridCol w:w="3027"/>
        <w:gridCol w:w="3027"/>
        <w:gridCol w:w="3027"/>
      </w:tblGrid>
      <w:tr w:rsidR="00480F9E" w:rsidRPr="00C75FF4" w:rsidTr="00BE6E91">
        <w:trPr>
          <w:trHeight w:val="260"/>
        </w:trPr>
        <w:tc>
          <w:tcPr>
            <w:tcW w:w="15135"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480F9E" w:rsidRPr="00C75FF4" w:rsidRDefault="00480F9E" w:rsidP="005231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Botanicals</w:t>
            </w:r>
          </w:p>
        </w:tc>
      </w:tr>
      <w:tr w:rsidR="00480F9E" w:rsidRPr="00C75FF4" w:rsidTr="00480F9E">
        <w:trPr>
          <w:trHeight w:val="837"/>
        </w:trPr>
        <w:tc>
          <w:tcPr>
            <w:tcW w:w="3027" w:type="dxa"/>
            <w:tcBorders>
              <w:top w:val="single" w:sz="4" w:space="0" w:color="auto"/>
              <w:left w:val="single" w:sz="4" w:space="0" w:color="auto"/>
              <w:bottom w:val="single" w:sz="4" w:space="0" w:color="auto"/>
              <w:right w:val="single" w:sz="4" w:space="0" w:color="auto"/>
            </w:tcBorders>
            <w:vAlign w:val="center"/>
          </w:tcPr>
          <w:p w:rsidR="00480F9E" w:rsidRDefault="00480F9E"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contain Coumarins (possible anticoagulant properties</w:t>
            </w:r>
            <w:r w:rsidR="00523100">
              <w:rPr>
                <w:rFonts w:ascii="Calibri" w:eastAsia="Times New Roman" w:hAnsi="Calibri" w:cs="Calibri"/>
                <w:color w:val="000000"/>
                <w:sz w:val="17"/>
                <w:szCs w:val="17"/>
              </w:rPr>
              <w:t>)</w:t>
            </w:r>
            <w:r>
              <w:rPr>
                <w:rFonts w:ascii="Calibri" w:eastAsia="Times New Roman" w:hAnsi="Calibri" w:cs="Calibri"/>
                <w:color w:val="000000"/>
                <w:sz w:val="17"/>
                <w:szCs w:val="17"/>
              </w:rPr>
              <w:t>:</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Agrimony</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Alfalfa</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Angelica (Dong Quai)</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Aniseed</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Arnica</w:t>
            </w:r>
          </w:p>
          <w:p w:rsidR="00DA44A4" w:rsidRP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Asafoetida</w:t>
            </w:r>
            <w:proofErr w:type="spellEnd"/>
          </w:p>
        </w:tc>
        <w:tc>
          <w:tcPr>
            <w:tcW w:w="3027" w:type="dxa"/>
            <w:tcBorders>
              <w:top w:val="single" w:sz="4" w:space="0" w:color="auto"/>
              <w:left w:val="single" w:sz="4" w:space="0" w:color="auto"/>
              <w:bottom w:val="single" w:sz="4" w:space="0" w:color="auto"/>
              <w:right w:val="single" w:sz="4" w:space="0" w:color="auto"/>
            </w:tcBorders>
            <w:vAlign w:val="center"/>
          </w:tcPr>
          <w:p w:rsidR="00DA44A4" w:rsidRDefault="00DA44A4" w:rsidP="00DA44A4">
            <w:pPr>
              <w:pStyle w:val="ListParagraph"/>
              <w:spacing w:after="0" w:line="240" w:lineRule="auto"/>
              <w:rPr>
                <w:rFonts w:ascii="Calibri" w:eastAsia="Times New Roman" w:hAnsi="Calibri" w:cs="Calibri"/>
                <w:color w:val="000000"/>
                <w:sz w:val="17"/>
                <w:szCs w:val="17"/>
              </w:rPr>
            </w:pPr>
          </w:p>
          <w:p w:rsidR="00480F9E" w:rsidRDefault="00DA44A4" w:rsidP="00480F9E">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Boldo</w:t>
            </w:r>
            <w:proofErr w:type="spellEnd"/>
          </w:p>
          <w:p w:rsidR="00DA44A4" w:rsidRDefault="00DA44A4" w:rsidP="00480F9E">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Buchu</w:t>
            </w:r>
            <w:proofErr w:type="spellEnd"/>
          </w:p>
          <w:p w:rsidR="00DA44A4" w:rsidRDefault="00DA44A4" w:rsidP="00480F9E">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Celery</w:t>
            </w:r>
          </w:p>
          <w:p w:rsidR="00DA44A4" w:rsidRDefault="00DA44A4" w:rsidP="00480F9E">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Chamomile</w:t>
            </w:r>
          </w:p>
          <w:p w:rsidR="00DA44A4" w:rsidRDefault="00DA44A4" w:rsidP="00480F9E">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Dandelion</w:t>
            </w:r>
          </w:p>
          <w:p w:rsidR="00DA44A4" w:rsidRPr="00480F9E" w:rsidRDefault="00DA44A4" w:rsidP="00480F9E">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Fenugreek</w:t>
            </w:r>
          </w:p>
        </w:tc>
        <w:tc>
          <w:tcPr>
            <w:tcW w:w="3027" w:type="dxa"/>
            <w:tcBorders>
              <w:top w:val="single" w:sz="4" w:space="0" w:color="auto"/>
              <w:left w:val="single" w:sz="4" w:space="0" w:color="auto"/>
              <w:bottom w:val="single" w:sz="4" w:space="0" w:color="auto"/>
              <w:right w:val="single" w:sz="4" w:space="0" w:color="auto"/>
            </w:tcBorders>
            <w:vAlign w:val="center"/>
          </w:tcPr>
          <w:p w:rsidR="00480F9E" w:rsidRDefault="00480F9E" w:rsidP="00480F9E">
            <w:pPr>
              <w:spacing w:after="0" w:line="240" w:lineRule="auto"/>
              <w:rPr>
                <w:rFonts w:ascii="Calibri" w:eastAsia="Times New Roman" w:hAnsi="Calibri" w:cs="Calibri"/>
                <w:color w:val="000000"/>
                <w:sz w:val="17"/>
                <w:szCs w:val="17"/>
              </w:rPr>
            </w:pP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Horseradish</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Licorice</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Parsley</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Capsicum</w:t>
            </w:r>
          </w:p>
          <w:p w:rsid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Tonka Beans</w:t>
            </w:r>
          </w:p>
          <w:p w:rsidR="00DA44A4" w:rsidRPr="00DA44A4" w:rsidRDefault="00DA44A4" w:rsidP="00DA44A4">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Wild Carrot</w:t>
            </w:r>
          </w:p>
        </w:tc>
        <w:tc>
          <w:tcPr>
            <w:tcW w:w="3027" w:type="dxa"/>
            <w:tcBorders>
              <w:top w:val="single" w:sz="4" w:space="0" w:color="auto"/>
              <w:left w:val="single" w:sz="4" w:space="0" w:color="auto"/>
              <w:bottom w:val="single" w:sz="4" w:space="0" w:color="auto"/>
              <w:right w:val="single" w:sz="4" w:space="0" w:color="auto"/>
            </w:tcBorders>
            <w:vAlign w:val="center"/>
          </w:tcPr>
          <w:p w:rsidR="00480F9E" w:rsidRDefault="00480F9E" w:rsidP="00480F9E">
            <w:pPr>
              <w:spacing w:after="0" w:line="240" w:lineRule="auto"/>
              <w:rPr>
                <w:rFonts w:ascii="Calibri" w:eastAsia="Times New Roman" w:hAnsi="Calibri" w:cs="Calibri"/>
                <w:color w:val="000000"/>
                <w:sz w:val="17"/>
                <w:szCs w:val="17"/>
              </w:rPr>
            </w:pP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Wild Lettuce</w:t>
            </w: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Bogbean</w:t>
            </w:r>
            <w:proofErr w:type="spellEnd"/>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Horse </w:t>
            </w:r>
            <w:proofErr w:type="spellStart"/>
            <w:r>
              <w:rPr>
                <w:rFonts w:ascii="Calibri" w:eastAsia="Times New Roman" w:hAnsi="Calibri" w:cs="Calibri"/>
                <w:color w:val="000000"/>
                <w:sz w:val="17"/>
                <w:szCs w:val="17"/>
              </w:rPr>
              <w:t>Chesnut</w:t>
            </w:r>
            <w:proofErr w:type="spellEnd"/>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Meadowsweet</w:t>
            </w: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Sweet Clover</w:t>
            </w:r>
          </w:p>
          <w:p w:rsidR="00771F60" w:rsidRP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Passion Flower</w:t>
            </w:r>
          </w:p>
        </w:tc>
        <w:tc>
          <w:tcPr>
            <w:tcW w:w="3027" w:type="dxa"/>
            <w:tcBorders>
              <w:top w:val="single" w:sz="4" w:space="0" w:color="auto"/>
              <w:left w:val="single" w:sz="4" w:space="0" w:color="auto"/>
              <w:bottom w:val="single" w:sz="4" w:space="0" w:color="auto"/>
              <w:right w:val="single" w:sz="4" w:space="0" w:color="auto"/>
            </w:tcBorders>
            <w:vAlign w:val="center"/>
          </w:tcPr>
          <w:p w:rsidR="00480F9E" w:rsidRDefault="00480F9E" w:rsidP="00480F9E">
            <w:pPr>
              <w:spacing w:after="0" w:line="240" w:lineRule="auto"/>
              <w:rPr>
                <w:rFonts w:ascii="Calibri" w:eastAsia="Times New Roman" w:hAnsi="Calibri" w:cs="Calibri"/>
                <w:color w:val="000000"/>
                <w:sz w:val="17"/>
                <w:szCs w:val="17"/>
              </w:rPr>
            </w:pP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Prickly Ash</w:t>
            </w: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Quassia</w:t>
            </w:r>
            <w:proofErr w:type="spellEnd"/>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Red Clover</w:t>
            </w: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Sweet Woodruff</w:t>
            </w:r>
          </w:p>
          <w:p w:rsid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Nettle</w:t>
            </w:r>
          </w:p>
          <w:p w:rsidR="00771F60" w:rsidRPr="00771F60" w:rsidRDefault="00771F60" w:rsidP="00771F60">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Cassia</w:t>
            </w:r>
          </w:p>
        </w:tc>
      </w:tr>
      <w:tr w:rsidR="00480F9E" w:rsidRPr="00C75FF4" w:rsidTr="00480F9E">
        <w:trPr>
          <w:trHeight w:val="837"/>
        </w:trPr>
        <w:tc>
          <w:tcPr>
            <w:tcW w:w="15135" w:type="dxa"/>
            <w:gridSpan w:val="5"/>
            <w:tcBorders>
              <w:top w:val="single" w:sz="4" w:space="0" w:color="auto"/>
              <w:left w:val="single" w:sz="4" w:space="0" w:color="auto"/>
              <w:bottom w:val="single" w:sz="4" w:space="0" w:color="auto"/>
              <w:right w:val="single" w:sz="4" w:space="0" w:color="auto"/>
            </w:tcBorders>
            <w:vAlign w:val="center"/>
          </w:tcPr>
          <w:p w:rsidR="00480F9E" w:rsidRDefault="00A57245" w:rsidP="00A57245">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have anticoagulant properties:</w:t>
            </w:r>
          </w:p>
          <w:p w:rsidR="00A57245" w:rsidRDefault="00A57245" w:rsidP="00A57245">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Bladder Wrack/</w:t>
            </w:r>
            <w:proofErr w:type="spellStart"/>
            <w:r>
              <w:rPr>
                <w:rFonts w:ascii="Calibri" w:eastAsia="Times New Roman" w:hAnsi="Calibri" w:cs="Calibri"/>
                <w:color w:val="000000"/>
                <w:sz w:val="17"/>
                <w:szCs w:val="17"/>
              </w:rPr>
              <w:t>Fucus</w:t>
            </w:r>
            <w:proofErr w:type="spellEnd"/>
            <w:r>
              <w:rPr>
                <w:rFonts w:ascii="Calibri" w:eastAsia="Times New Roman" w:hAnsi="Calibri" w:cs="Calibri"/>
                <w:color w:val="000000"/>
                <w:sz w:val="17"/>
                <w:szCs w:val="17"/>
              </w:rPr>
              <w:t xml:space="preserve"> (heparin-like)</w:t>
            </w:r>
          </w:p>
          <w:p w:rsidR="00A57245" w:rsidRDefault="00A57245" w:rsidP="00A57245">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Pau </w:t>
            </w:r>
            <w:proofErr w:type="spellStart"/>
            <w:r>
              <w:rPr>
                <w:rFonts w:ascii="Calibri" w:eastAsia="Times New Roman" w:hAnsi="Calibri" w:cs="Calibri"/>
                <w:color w:val="000000"/>
                <w:sz w:val="17"/>
                <w:szCs w:val="17"/>
              </w:rPr>
              <w:t>d’arco</w:t>
            </w:r>
            <w:proofErr w:type="spellEnd"/>
          </w:p>
          <w:p w:rsidR="00A57245" w:rsidRDefault="00A57245" w:rsidP="00A57245">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Salvia </w:t>
            </w:r>
            <w:proofErr w:type="spellStart"/>
            <w:r>
              <w:rPr>
                <w:rFonts w:ascii="Calibri" w:eastAsia="Times New Roman" w:hAnsi="Calibri" w:cs="Calibri"/>
                <w:color w:val="000000"/>
                <w:sz w:val="17"/>
                <w:szCs w:val="17"/>
              </w:rPr>
              <w:t>Multiorrhizhae</w:t>
            </w:r>
            <w:proofErr w:type="spellEnd"/>
            <w:r>
              <w:rPr>
                <w:rFonts w:ascii="Calibri" w:eastAsia="Times New Roman" w:hAnsi="Calibri" w:cs="Calibri"/>
                <w:color w:val="000000"/>
                <w:sz w:val="17"/>
                <w:szCs w:val="17"/>
              </w:rPr>
              <w:t xml:space="preserve"> (Cinnabar root)</w:t>
            </w:r>
          </w:p>
          <w:p w:rsidR="00A57245" w:rsidRDefault="00A57245" w:rsidP="00A57245">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Danshen</w:t>
            </w:r>
            <w:proofErr w:type="spellEnd"/>
            <w:r>
              <w:rPr>
                <w:rFonts w:ascii="Calibri" w:eastAsia="Times New Roman" w:hAnsi="Calibri" w:cs="Calibri"/>
                <w:color w:val="000000"/>
                <w:sz w:val="17"/>
                <w:szCs w:val="17"/>
              </w:rPr>
              <w:t xml:space="preserve"> (ATIII-like activity)</w:t>
            </w:r>
          </w:p>
          <w:p w:rsidR="00A57245" w:rsidRPr="00A57245" w:rsidRDefault="00A57245" w:rsidP="00A57245">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Chondroitin (heparin-like)</w:t>
            </w:r>
          </w:p>
        </w:tc>
      </w:tr>
      <w:tr w:rsidR="00402448" w:rsidRPr="00C75FF4" w:rsidTr="00C63321">
        <w:trPr>
          <w:trHeight w:val="837"/>
        </w:trPr>
        <w:tc>
          <w:tcPr>
            <w:tcW w:w="3027" w:type="dxa"/>
            <w:tcBorders>
              <w:top w:val="single" w:sz="4" w:space="0" w:color="auto"/>
              <w:left w:val="single" w:sz="4" w:space="0" w:color="auto"/>
              <w:bottom w:val="single" w:sz="4" w:space="0" w:color="auto"/>
              <w:right w:val="single" w:sz="4" w:space="0" w:color="auto"/>
            </w:tcBorders>
            <w:vAlign w:val="center"/>
          </w:tcPr>
          <w:p w:rsidR="00402448" w:rsidRDefault="00402448"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contain Salicylate (possible antiplatelet effects):</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Agrimony</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Aloe Gel</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Aspen</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Senega</w:t>
            </w:r>
            <w:proofErr w:type="spellEnd"/>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Wintergreen</w:t>
            </w:r>
          </w:p>
        </w:tc>
        <w:tc>
          <w:tcPr>
            <w:tcW w:w="3027" w:type="dxa"/>
            <w:tcBorders>
              <w:top w:val="single" w:sz="4" w:space="0" w:color="auto"/>
              <w:left w:val="single" w:sz="4" w:space="0" w:color="auto"/>
              <w:bottom w:val="single" w:sz="4" w:space="0" w:color="auto"/>
              <w:right w:val="single" w:sz="4" w:space="0" w:color="auto"/>
            </w:tcBorders>
            <w:vAlign w:val="center"/>
          </w:tcPr>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Willow</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Feverfew (also reduces release of serotonin &amp; affects the protein kinase pathway)</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Cassia</w:t>
            </w:r>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Clove</w:t>
            </w:r>
          </w:p>
        </w:tc>
        <w:tc>
          <w:tcPr>
            <w:tcW w:w="3027" w:type="dxa"/>
            <w:tcBorders>
              <w:top w:val="single" w:sz="4" w:space="0" w:color="auto"/>
              <w:left w:val="single" w:sz="4" w:space="0" w:color="auto"/>
              <w:bottom w:val="single" w:sz="4" w:space="0" w:color="auto"/>
              <w:right w:val="single" w:sz="4" w:space="0" w:color="auto"/>
            </w:tcBorders>
            <w:vAlign w:val="center"/>
          </w:tcPr>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Dandelion</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Black Cohosh</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Blackhaw</w:t>
            </w:r>
            <w:proofErr w:type="spellEnd"/>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Bogbean</w:t>
            </w:r>
            <w:proofErr w:type="spellEnd"/>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Ginger (↓ TxA2)</w:t>
            </w:r>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Ginkgo biloba (↓ PAF)</w:t>
            </w:r>
          </w:p>
        </w:tc>
        <w:tc>
          <w:tcPr>
            <w:tcW w:w="3027" w:type="dxa"/>
            <w:tcBorders>
              <w:top w:val="single" w:sz="4" w:space="0" w:color="auto"/>
              <w:left w:val="single" w:sz="4" w:space="0" w:color="auto"/>
              <w:bottom w:val="single" w:sz="4" w:space="0" w:color="auto"/>
              <w:right w:val="single" w:sz="4" w:space="0" w:color="auto"/>
            </w:tcBorders>
            <w:vAlign w:val="center"/>
          </w:tcPr>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Ginseng (↓ TF, thrombin &amp; PAF &amp; may interfere with Coumadin)</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Licorice</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Garlic (↓ TxA2)</w:t>
            </w:r>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German </w:t>
            </w:r>
            <w:proofErr w:type="spellStart"/>
            <w:r>
              <w:rPr>
                <w:rFonts w:ascii="Calibri" w:eastAsia="Times New Roman" w:hAnsi="Calibri" w:cs="Calibri"/>
                <w:color w:val="000000"/>
                <w:sz w:val="17"/>
                <w:szCs w:val="17"/>
              </w:rPr>
              <w:t>Sarsparilla</w:t>
            </w:r>
            <w:proofErr w:type="spellEnd"/>
          </w:p>
        </w:tc>
        <w:tc>
          <w:tcPr>
            <w:tcW w:w="3027" w:type="dxa"/>
            <w:tcBorders>
              <w:top w:val="single" w:sz="4" w:space="0" w:color="auto"/>
              <w:left w:val="single" w:sz="4" w:space="0" w:color="auto"/>
              <w:bottom w:val="single" w:sz="4" w:space="0" w:color="auto"/>
              <w:right w:val="single" w:sz="4" w:space="0" w:color="auto"/>
            </w:tcBorders>
            <w:vAlign w:val="center"/>
          </w:tcPr>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Policosanol</w:t>
            </w:r>
            <w:proofErr w:type="spellEnd"/>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Poplar</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Tamarind</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Meadowsweet</w:t>
            </w:r>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Onion</w:t>
            </w:r>
          </w:p>
        </w:tc>
      </w:tr>
      <w:tr w:rsidR="00480F9E" w:rsidRPr="00C75FF4" w:rsidTr="00480F9E">
        <w:trPr>
          <w:trHeight w:val="837"/>
        </w:trPr>
        <w:tc>
          <w:tcPr>
            <w:tcW w:w="15135" w:type="dxa"/>
            <w:gridSpan w:val="5"/>
            <w:tcBorders>
              <w:top w:val="single" w:sz="4" w:space="0" w:color="auto"/>
              <w:left w:val="single" w:sz="4" w:space="0" w:color="auto"/>
              <w:bottom w:val="single" w:sz="4" w:space="0" w:color="auto"/>
              <w:right w:val="single" w:sz="4" w:space="0" w:color="auto"/>
            </w:tcBorders>
            <w:vAlign w:val="center"/>
          </w:tcPr>
          <w:p w:rsidR="00480F9E" w:rsidRDefault="00402448"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have fibrinolytic properties:</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Bromelains</w:t>
            </w:r>
            <w:proofErr w:type="spellEnd"/>
            <w:r>
              <w:rPr>
                <w:rFonts w:ascii="Calibri" w:eastAsia="Times New Roman" w:hAnsi="Calibri" w:cs="Calibri"/>
                <w:color w:val="000000"/>
                <w:sz w:val="17"/>
                <w:szCs w:val="17"/>
              </w:rPr>
              <w:t xml:space="preserve"> (from pineapple plants, proteolytic enzymes that are anti-inflammatory, thereby reducing platelet activation)</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Capsicum</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Ginseng</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Onion</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Inositol </w:t>
            </w:r>
            <w:proofErr w:type="spellStart"/>
            <w:r>
              <w:rPr>
                <w:rFonts w:ascii="Calibri" w:eastAsia="Times New Roman" w:hAnsi="Calibri" w:cs="Calibri"/>
                <w:color w:val="000000"/>
                <w:sz w:val="17"/>
                <w:szCs w:val="17"/>
              </w:rPr>
              <w:t>Nicotinate</w:t>
            </w:r>
            <w:proofErr w:type="spellEnd"/>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Garlic (increases streptokinase activated plasminogen activator)</w:t>
            </w:r>
          </w:p>
        </w:tc>
      </w:tr>
      <w:tr w:rsidR="00480F9E" w:rsidRPr="00C75FF4" w:rsidTr="00BE6E91">
        <w:trPr>
          <w:trHeight w:val="656"/>
        </w:trPr>
        <w:tc>
          <w:tcPr>
            <w:tcW w:w="15135" w:type="dxa"/>
            <w:gridSpan w:val="5"/>
            <w:tcBorders>
              <w:top w:val="single" w:sz="4" w:space="0" w:color="auto"/>
              <w:left w:val="single" w:sz="4" w:space="0" w:color="auto"/>
              <w:bottom w:val="single" w:sz="4" w:space="0" w:color="auto"/>
              <w:right w:val="single" w:sz="4" w:space="0" w:color="auto"/>
            </w:tcBorders>
            <w:vAlign w:val="center"/>
          </w:tcPr>
          <w:p w:rsidR="00480F9E" w:rsidRDefault="00402448"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have coagulant properties:</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Mistletoe</w:t>
            </w:r>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Yarrow</w:t>
            </w:r>
          </w:p>
        </w:tc>
      </w:tr>
      <w:tr w:rsidR="00480F9E" w:rsidRPr="00C75FF4" w:rsidTr="00480F9E">
        <w:trPr>
          <w:trHeight w:val="837"/>
        </w:trPr>
        <w:tc>
          <w:tcPr>
            <w:tcW w:w="15135" w:type="dxa"/>
            <w:gridSpan w:val="5"/>
            <w:tcBorders>
              <w:top w:val="single" w:sz="4" w:space="0" w:color="auto"/>
              <w:left w:val="single" w:sz="4" w:space="0" w:color="auto"/>
              <w:bottom w:val="single" w:sz="4" w:space="0" w:color="auto"/>
              <w:right w:val="single" w:sz="4" w:space="0" w:color="auto"/>
            </w:tcBorders>
            <w:vAlign w:val="center"/>
          </w:tcPr>
          <w:p w:rsidR="00480F9E" w:rsidRDefault="00402448"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The following antagonize Warfarin (contain </w:t>
            </w:r>
            <w:proofErr w:type="spellStart"/>
            <w:r>
              <w:rPr>
                <w:rFonts w:ascii="Calibri" w:eastAsia="Times New Roman" w:hAnsi="Calibri" w:cs="Calibri"/>
                <w:color w:val="000000"/>
                <w:sz w:val="17"/>
                <w:szCs w:val="17"/>
              </w:rPr>
              <w:t>Berberine</w:t>
            </w:r>
            <w:proofErr w:type="spellEnd"/>
            <w:r>
              <w:rPr>
                <w:rFonts w:ascii="Calibri" w:eastAsia="Times New Roman" w:hAnsi="Calibri" w:cs="Calibri"/>
                <w:color w:val="000000"/>
                <w:sz w:val="17"/>
                <w:szCs w:val="17"/>
              </w:rPr>
              <w:t>):</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Mahonia</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Aquifolium</w:t>
            </w:r>
            <w:proofErr w:type="spellEnd"/>
            <w:r>
              <w:rPr>
                <w:rFonts w:ascii="Calibri" w:eastAsia="Times New Roman" w:hAnsi="Calibri" w:cs="Calibri"/>
                <w:color w:val="000000"/>
                <w:sz w:val="17"/>
                <w:szCs w:val="17"/>
              </w:rPr>
              <w:t xml:space="preserve"> (Oregon Grape)</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Goldenseal</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Berberis</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Vulagaris</w:t>
            </w:r>
            <w:proofErr w:type="spellEnd"/>
            <w:r>
              <w:rPr>
                <w:rFonts w:ascii="Calibri" w:eastAsia="Times New Roman" w:hAnsi="Calibri" w:cs="Calibri"/>
                <w:color w:val="000000"/>
                <w:sz w:val="17"/>
                <w:szCs w:val="17"/>
              </w:rPr>
              <w:t xml:space="preserve"> (barberry)</w:t>
            </w:r>
          </w:p>
          <w:p w:rsid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Agrimony (</w:t>
            </w:r>
            <w:proofErr w:type="spellStart"/>
            <w:r>
              <w:rPr>
                <w:rFonts w:ascii="Calibri" w:eastAsia="Times New Roman" w:hAnsi="Calibri" w:cs="Calibri"/>
                <w:color w:val="000000"/>
                <w:sz w:val="17"/>
                <w:szCs w:val="17"/>
              </w:rPr>
              <w:t>Vit</w:t>
            </w:r>
            <w:proofErr w:type="spellEnd"/>
            <w:r>
              <w:rPr>
                <w:rFonts w:ascii="Calibri" w:eastAsia="Times New Roman" w:hAnsi="Calibri" w:cs="Calibri"/>
                <w:color w:val="000000"/>
                <w:sz w:val="17"/>
                <w:szCs w:val="17"/>
              </w:rPr>
              <w:t xml:space="preserve"> K)</w:t>
            </w:r>
          </w:p>
          <w:p w:rsidR="00402448" w:rsidRPr="00402448" w:rsidRDefault="00402448" w:rsidP="00402448">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Alfalfa (</w:t>
            </w:r>
            <w:proofErr w:type="spellStart"/>
            <w:r>
              <w:rPr>
                <w:rFonts w:ascii="Calibri" w:eastAsia="Times New Roman" w:hAnsi="Calibri" w:cs="Calibri"/>
                <w:color w:val="000000"/>
                <w:sz w:val="17"/>
                <w:szCs w:val="17"/>
              </w:rPr>
              <w:t>Vit</w:t>
            </w:r>
            <w:proofErr w:type="spellEnd"/>
            <w:r>
              <w:rPr>
                <w:rFonts w:ascii="Calibri" w:eastAsia="Times New Roman" w:hAnsi="Calibri" w:cs="Calibri"/>
                <w:color w:val="000000"/>
                <w:sz w:val="17"/>
                <w:szCs w:val="17"/>
              </w:rPr>
              <w:t xml:space="preserve"> K)</w:t>
            </w:r>
          </w:p>
        </w:tc>
      </w:tr>
      <w:tr w:rsidR="00480F9E" w:rsidRPr="00C75FF4" w:rsidTr="00BE6E91">
        <w:trPr>
          <w:trHeight w:val="584"/>
        </w:trPr>
        <w:tc>
          <w:tcPr>
            <w:tcW w:w="15135" w:type="dxa"/>
            <w:gridSpan w:val="5"/>
            <w:tcBorders>
              <w:top w:val="single" w:sz="4" w:space="0" w:color="auto"/>
              <w:left w:val="single" w:sz="4" w:space="0" w:color="auto"/>
              <w:bottom w:val="single" w:sz="4" w:space="0" w:color="auto"/>
              <w:right w:val="single" w:sz="4" w:space="0" w:color="auto"/>
            </w:tcBorders>
            <w:vAlign w:val="center"/>
          </w:tcPr>
          <w:p w:rsidR="00480F9E" w:rsidRDefault="003F561C" w:rsidP="00480F9E">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may reduce Coumadin effect:</w:t>
            </w:r>
          </w:p>
          <w:p w:rsidR="003F561C" w:rsidRDefault="003F561C" w:rsidP="003F561C">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 xml:space="preserve">St. John’s </w:t>
            </w:r>
            <w:proofErr w:type="spellStart"/>
            <w:r>
              <w:rPr>
                <w:rFonts w:ascii="Calibri" w:eastAsia="Times New Roman" w:hAnsi="Calibri" w:cs="Calibri"/>
                <w:color w:val="000000"/>
                <w:sz w:val="17"/>
                <w:szCs w:val="17"/>
              </w:rPr>
              <w:t>Wort</w:t>
            </w:r>
            <w:proofErr w:type="spellEnd"/>
            <w:r>
              <w:rPr>
                <w:rFonts w:ascii="Calibri" w:eastAsia="Times New Roman" w:hAnsi="Calibri" w:cs="Calibri"/>
                <w:color w:val="000000"/>
                <w:sz w:val="17"/>
                <w:szCs w:val="17"/>
              </w:rPr>
              <w:t xml:space="preserve"> (increase P450 2C9 induction, increasing Coumadin metabolism)</w:t>
            </w:r>
          </w:p>
          <w:p w:rsidR="003F561C" w:rsidRPr="003F561C" w:rsidRDefault="003F561C" w:rsidP="003F561C">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Coenzyme Q</w:t>
            </w:r>
            <w:r w:rsidRPr="003F561C">
              <w:rPr>
                <w:rFonts w:ascii="Calibri" w:eastAsia="Times New Roman" w:hAnsi="Calibri" w:cs="Calibri"/>
                <w:color w:val="000000"/>
                <w:sz w:val="17"/>
                <w:szCs w:val="17"/>
                <w:vertAlign w:val="subscript"/>
              </w:rPr>
              <w:t>10</w:t>
            </w:r>
          </w:p>
        </w:tc>
      </w:tr>
      <w:tr w:rsidR="00480F9E" w:rsidRPr="00C75FF4" w:rsidTr="00480F9E">
        <w:trPr>
          <w:trHeight w:val="837"/>
        </w:trPr>
        <w:tc>
          <w:tcPr>
            <w:tcW w:w="15135" w:type="dxa"/>
            <w:gridSpan w:val="5"/>
            <w:tcBorders>
              <w:top w:val="single" w:sz="4" w:space="0" w:color="auto"/>
              <w:left w:val="single" w:sz="4" w:space="0" w:color="auto"/>
              <w:bottom w:val="single" w:sz="4" w:space="0" w:color="auto"/>
              <w:right w:val="single" w:sz="4" w:space="0" w:color="auto"/>
            </w:tcBorders>
            <w:vAlign w:val="center"/>
          </w:tcPr>
          <w:p w:rsidR="00480F9E" w:rsidRDefault="00F37CD8" w:rsidP="00480F9E">
            <w:pPr>
              <w:spacing w:after="0" w:line="240" w:lineRule="auto"/>
              <w:rPr>
                <w:rFonts w:ascii="Calibri" w:eastAsia="Times New Roman" w:hAnsi="Calibri" w:cs="Calibri"/>
                <w:color w:val="000000"/>
                <w:sz w:val="17"/>
                <w:szCs w:val="17"/>
              </w:rPr>
            </w:pPr>
            <w:r w:rsidRPr="00F37CD8">
              <w:rPr>
                <w:rFonts w:ascii="Calibri" w:eastAsia="Times New Roman" w:hAnsi="Calibri" w:cs="Calibri"/>
                <w:color w:val="000000" w:themeColor="text1"/>
                <w:sz w:val="17"/>
                <w:szCs w:val="17"/>
              </w:rPr>
              <w:t>T</w:t>
            </w:r>
            <w:r w:rsidR="00AC33F7" w:rsidRPr="00F37CD8">
              <w:rPr>
                <w:rFonts w:ascii="Calibri" w:eastAsia="Times New Roman" w:hAnsi="Calibri" w:cs="Calibri"/>
                <w:color w:val="000000" w:themeColor="text1"/>
                <w:sz w:val="17"/>
                <w:szCs w:val="17"/>
              </w:rPr>
              <w:t>he following have other effects on coagulation</w:t>
            </w:r>
            <w:r>
              <w:rPr>
                <w:rFonts w:ascii="Calibri" w:eastAsia="Times New Roman" w:hAnsi="Calibri" w:cs="Calibri"/>
                <w:color w:val="000000" w:themeColor="text1"/>
                <w:sz w:val="17"/>
                <w:szCs w:val="17"/>
              </w:rPr>
              <w:t>:</w:t>
            </w:r>
            <w:r w:rsidR="00AC33F7" w:rsidRPr="00F37CD8">
              <w:rPr>
                <w:rFonts w:ascii="Calibri" w:eastAsia="Times New Roman" w:hAnsi="Calibri" w:cs="Calibri"/>
                <w:color w:val="000000" w:themeColor="text1"/>
                <w:sz w:val="17"/>
                <w:szCs w:val="17"/>
              </w:rPr>
              <w:t xml:space="preserve">  </w:t>
            </w:r>
            <w:r w:rsidR="00AC33F7" w:rsidRPr="00F37CD8">
              <w:rPr>
                <w:rFonts w:ascii="Calibri" w:eastAsia="Times New Roman" w:hAnsi="Calibri" w:cs="Calibri"/>
                <w:color w:val="000000" w:themeColor="text1"/>
                <w:sz w:val="17"/>
                <w:szCs w:val="17"/>
                <w:highlight w:val="yellow"/>
              </w:rPr>
              <w:t>Marijuana may also be added here as antiplatelet property.</w:t>
            </w:r>
          </w:p>
          <w:p w:rsidR="003F561C" w:rsidRDefault="003F561C" w:rsidP="003F561C">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Anamu</w:t>
            </w:r>
            <w:proofErr w:type="spellEnd"/>
            <w:r>
              <w:rPr>
                <w:rFonts w:ascii="Calibri" w:eastAsia="Times New Roman" w:hAnsi="Calibri" w:cs="Calibri"/>
                <w:color w:val="000000"/>
                <w:sz w:val="17"/>
                <w:szCs w:val="17"/>
              </w:rPr>
              <w:t xml:space="preserve"> (hemostasis properties –</w:t>
            </w:r>
            <w:proofErr w:type="spellStart"/>
            <w:r>
              <w:rPr>
                <w:rFonts w:ascii="Calibri" w:eastAsia="Times New Roman" w:hAnsi="Calibri" w:cs="Calibri"/>
                <w:color w:val="000000"/>
                <w:sz w:val="17"/>
                <w:szCs w:val="17"/>
              </w:rPr>
              <w:t>triterpens</w:t>
            </w:r>
            <w:proofErr w:type="spellEnd"/>
            <w:r>
              <w:rPr>
                <w:rFonts w:ascii="Calibri" w:eastAsia="Times New Roman" w:hAnsi="Calibri" w:cs="Calibri"/>
                <w:color w:val="000000"/>
                <w:sz w:val="17"/>
                <w:szCs w:val="17"/>
              </w:rPr>
              <w:t>)</w:t>
            </w:r>
          </w:p>
          <w:p w:rsidR="003F561C" w:rsidRDefault="003F561C" w:rsidP="003F561C">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Fish Oil (antiplatelet, omega-3 fatty acids reduce inflammation &amp; may stabilize atherosclerotic plaque)</w:t>
            </w:r>
          </w:p>
          <w:p w:rsidR="003F561C" w:rsidRDefault="003F561C" w:rsidP="003F561C">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Vitamin E (antiplatelet)</w:t>
            </w:r>
          </w:p>
          <w:p w:rsidR="00F37CD8" w:rsidRPr="00F37CD8" w:rsidRDefault="003F561C" w:rsidP="00F37CD8">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Llanten</w:t>
            </w:r>
            <w:proofErr w:type="spellEnd"/>
            <w:r>
              <w:rPr>
                <w:rFonts w:ascii="Calibri" w:eastAsia="Times New Roman" w:hAnsi="Calibri" w:cs="Calibri"/>
                <w:color w:val="000000"/>
                <w:sz w:val="17"/>
                <w:szCs w:val="17"/>
              </w:rPr>
              <w:t xml:space="preserve"> (hemostatic</w:t>
            </w:r>
          </w:p>
        </w:tc>
      </w:tr>
      <w:tr w:rsidR="00BE6E91" w:rsidRPr="00C75FF4" w:rsidTr="00BE6E91">
        <w:trPr>
          <w:trHeight w:val="620"/>
        </w:trPr>
        <w:tc>
          <w:tcPr>
            <w:tcW w:w="3027" w:type="dxa"/>
            <w:tcBorders>
              <w:top w:val="single" w:sz="4" w:space="0" w:color="auto"/>
              <w:left w:val="single" w:sz="4" w:space="0" w:color="auto"/>
              <w:bottom w:val="single" w:sz="4" w:space="0" w:color="auto"/>
              <w:right w:val="single" w:sz="4" w:space="0" w:color="auto"/>
            </w:tcBorders>
            <w:vAlign w:val="center"/>
          </w:tcPr>
          <w:p w:rsidR="00BE6E91" w:rsidRPr="00BE6E91" w:rsidRDefault="00BE6E91" w:rsidP="00BE6E91">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The following contain styptics (astringents/hemostasis to reduce bleeding):</w:t>
            </w:r>
          </w:p>
        </w:tc>
        <w:tc>
          <w:tcPr>
            <w:tcW w:w="3027" w:type="dxa"/>
            <w:tcBorders>
              <w:top w:val="single" w:sz="4" w:space="0" w:color="auto"/>
              <w:left w:val="single" w:sz="4" w:space="0" w:color="auto"/>
              <w:bottom w:val="single" w:sz="4" w:space="0" w:color="auto"/>
              <w:right w:val="single" w:sz="4" w:space="0" w:color="auto"/>
            </w:tcBorders>
            <w:vAlign w:val="center"/>
          </w:tcPr>
          <w:p w:rsid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Cinnamon</w:t>
            </w:r>
          </w:p>
          <w:p w:rsid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Labrador tea</w:t>
            </w:r>
          </w:p>
          <w:p w:rsidR="00BE6E91" w:rsidRP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New Jersey tea</w:t>
            </w:r>
          </w:p>
        </w:tc>
        <w:tc>
          <w:tcPr>
            <w:tcW w:w="3027" w:type="dxa"/>
            <w:tcBorders>
              <w:top w:val="single" w:sz="4" w:space="0" w:color="auto"/>
              <w:left w:val="single" w:sz="4" w:space="0" w:color="auto"/>
              <w:bottom w:val="single" w:sz="4" w:space="0" w:color="auto"/>
              <w:right w:val="single" w:sz="4" w:space="0" w:color="auto"/>
            </w:tcBorders>
            <w:vAlign w:val="center"/>
          </w:tcPr>
          <w:p w:rsid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proofErr w:type="spellStart"/>
            <w:r>
              <w:rPr>
                <w:rFonts w:ascii="Calibri" w:eastAsia="Times New Roman" w:hAnsi="Calibri" w:cs="Calibri"/>
                <w:color w:val="000000"/>
                <w:sz w:val="17"/>
                <w:szCs w:val="17"/>
              </w:rPr>
              <w:t>Delesseria</w:t>
            </w:r>
            <w:proofErr w:type="spellEnd"/>
            <w:r>
              <w:rPr>
                <w:rFonts w:ascii="Calibri" w:eastAsia="Times New Roman" w:hAnsi="Calibri" w:cs="Calibri"/>
                <w:color w:val="000000"/>
                <w:sz w:val="17"/>
                <w:szCs w:val="17"/>
              </w:rPr>
              <w:t xml:space="preserve"> </w:t>
            </w:r>
            <w:proofErr w:type="spellStart"/>
            <w:r>
              <w:rPr>
                <w:rFonts w:ascii="Calibri" w:eastAsia="Times New Roman" w:hAnsi="Calibri" w:cs="Calibri"/>
                <w:color w:val="000000"/>
                <w:sz w:val="17"/>
                <w:szCs w:val="17"/>
              </w:rPr>
              <w:t>Sanguinea</w:t>
            </w:r>
            <w:proofErr w:type="spellEnd"/>
            <w:r>
              <w:rPr>
                <w:rFonts w:ascii="Calibri" w:eastAsia="Times New Roman" w:hAnsi="Calibri" w:cs="Calibri"/>
                <w:color w:val="000000"/>
                <w:sz w:val="17"/>
                <w:szCs w:val="17"/>
              </w:rPr>
              <w:t xml:space="preserve"> (algae)</w:t>
            </w:r>
          </w:p>
          <w:p w:rsidR="00BE6E91" w:rsidRP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Shepard’s purse</w:t>
            </w:r>
          </w:p>
        </w:tc>
        <w:tc>
          <w:tcPr>
            <w:tcW w:w="3027" w:type="dxa"/>
            <w:tcBorders>
              <w:top w:val="single" w:sz="4" w:space="0" w:color="auto"/>
              <w:left w:val="single" w:sz="4" w:space="0" w:color="auto"/>
              <w:bottom w:val="single" w:sz="4" w:space="0" w:color="auto"/>
              <w:right w:val="single" w:sz="4" w:space="0" w:color="auto"/>
            </w:tcBorders>
            <w:vAlign w:val="center"/>
          </w:tcPr>
          <w:p w:rsid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rPr>
              <w:t>Burnet</w:t>
            </w:r>
          </w:p>
          <w:p w:rsidR="00BE6E91" w:rsidRPr="00BE6E91" w:rsidRDefault="00BE6E91" w:rsidP="00BE6E91">
            <w:pPr>
              <w:pStyle w:val="ListParagraph"/>
              <w:numPr>
                <w:ilvl w:val="0"/>
                <w:numId w:val="7"/>
              </w:numPr>
              <w:spacing w:after="0" w:line="240" w:lineRule="auto"/>
              <w:rPr>
                <w:rFonts w:ascii="Calibri" w:eastAsia="Times New Roman" w:hAnsi="Calibri" w:cs="Calibri"/>
                <w:color w:val="000000"/>
                <w:sz w:val="17"/>
                <w:szCs w:val="17"/>
              </w:rPr>
            </w:pPr>
            <w:r w:rsidRPr="00BE6E91">
              <w:rPr>
                <w:rFonts w:ascii="Calibri" w:eastAsia="Times New Roman" w:hAnsi="Calibri" w:cs="Calibri"/>
                <w:color w:val="000000"/>
                <w:sz w:val="17"/>
                <w:szCs w:val="17"/>
              </w:rPr>
              <w:t>Stock’</w:t>
            </w:r>
          </w:p>
        </w:tc>
        <w:tc>
          <w:tcPr>
            <w:tcW w:w="3027" w:type="dxa"/>
            <w:tcBorders>
              <w:top w:val="single" w:sz="4" w:space="0" w:color="auto"/>
              <w:left w:val="single" w:sz="4" w:space="0" w:color="auto"/>
              <w:bottom w:val="single" w:sz="4" w:space="0" w:color="auto"/>
              <w:right w:val="single" w:sz="4" w:space="0" w:color="auto"/>
            </w:tcBorders>
            <w:vAlign w:val="center"/>
          </w:tcPr>
          <w:p w:rsidR="00BE6E91" w:rsidRDefault="00BE6E91" w:rsidP="00BE6E91">
            <w:pPr>
              <w:spacing w:after="0" w:line="240" w:lineRule="auto"/>
              <w:rPr>
                <w:rFonts w:ascii="Calibri" w:eastAsia="Times New Roman" w:hAnsi="Calibri" w:cs="Calibri"/>
                <w:color w:val="000000"/>
                <w:sz w:val="17"/>
                <w:szCs w:val="17"/>
              </w:rPr>
            </w:pPr>
          </w:p>
        </w:tc>
      </w:tr>
    </w:tbl>
    <w:p w:rsidR="00E4564D" w:rsidRDefault="00E4564D" w:rsidP="00E4564D">
      <w:pPr>
        <w:spacing w:after="0" w:line="240" w:lineRule="auto"/>
        <w:rPr>
          <w:sz w:val="20"/>
          <w:szCs w:val="20"/>
        </w:rPr>
      </w:pPr>
    </w:p>
    <w:p w:rsidR="00E4564D" w:rsidRDefault="00E4564D" w:rsidP="00E4564D">
      <w:pPr>
        <w:spacing w:after="0" w:line="240" w:lineRule="auto"/>
        <w:rPr>
          <w:sz w:val="20"/>
          <w:szCs w:val="20"/>
        </w:rPr>
      </w:pPr>
      <w:r w:rsidRPr="00AE7DE6">
        <w:rPr>
          <w:b/>
          <w:sz w:val="20"/>
          <w:szCs w:val="20"/>
          <w:u w:val="single"/>
        </w:rPr>
        <w:t>Selected References</w:t>
      </w:r>
      <w:r>
        <w:rPr>
          <w:sz w:val="20"/>
          <w:szCs w:val="20"/>
        </w:rPr>
        <w:t>:</w:t>
      </w:r>
    </w:p>
    <w:p w:rsidR="00E4564D" w:rsidRDefault="00E4564D" w:rsidP="00E4564D">
      <w:pPr>
        <w:pStyle w:val="ListParagraph"/>
        <w:numPr>
          <w:ilvl w:val="0"/>
          <w:numId w:val="7"/>
        </w:numPr>
        <w:spacing w:after="0" w:line="240" w:lineRule="auto"/>
        <w:rPr>
          <w:sz w:val="20"/>
          <w:szCs w:val="20"/>
        </w:rPr>
      </w:pPr>
      <w:r>
        <w:rPr>
          <w:sz w:val="20"/>
          <w:szCs w:val="20"/>
        </w:rPr>
        <w:t>Abciximab (</w:t>
      </w:r>
      <w:proofErr w:type="spellStart"/>
      <w:r>
        <w:rPr>
          <w:sz w:val="20"/>
          <w:szCs w:val="20"/>
        </w:rPr>
        <w:t>ReoPro</w:t>
      </w:r>
      <w:proofErr w:type="spellEnd"/>
      <w:r>
        <w:rPr>
          <w:sz w:val="20"/>
          <w:szCs w:val="20"/>
        </w:rPr>
        <w:t xml:space="preserve">) package insert.  Revised 11/16/05.  </w:t>
      </w:r>
      <w:proofErr w:type="spellStart"/>
      <w:r>
        <w:rPr>
          <w:sz w:val="20"/>
          <w:szCs w:val="20"/>
        </w:rPr>
        <w:t>Centocor</w:t>
      </w:r>
      <w:proofErr w:type="spellEnd"/>
      <w:r>
        <w:rPr>
          <w:sz w:val="20"/>
          <w:szCs w:val="20"/>
        </w:rPr>
        <w:t>.</w:t>
      </w:r>
    </w:p>
    <w:p w:rsidR="00E4564D" w:rsidRDefault="001E651B" w:rsidP="00E4564D">
      <w:pPr>
        <w:pStyle w:val="ListParagraph"/>
        <w:numPr>
          <w:ilvl w:val="0"/>
          <w:numId w:val="7"/>
        </w:numPr>
        <w:spacing w:after="0" w:line="240" w:lineRule="auto"/>
        <w:rPr>
          <w:sz w:val="20"/>
          <w:szCs w:val="20"/>
        </w:rPr>
      </w:pPr>
      <w:r>
        <w:rPr>
          <w:sz w:val="20"/>
          <w:szCs w:val="20"/>
        </w:rPr>
        <w:t xml:space="preserve">Bracey AW, et al.  How do we manage patients treated with antithrombotic therapy in the perioperative </w:t>
      </w:r>
      <w:proofErr w:type="gramStart"/>
      <w:r>
        <w:rPr>
          <w:sz w:val="20"/>
          <w:szCs w:val="20"/>
        </w:rPr>
        <w:t>interval.</w:t>
      </w:r>
      <w:proofErr w:type="gramEnd"/>
      <w:r>
        <w:rPr>
          <w:sz w:val="20"/>
          <w:szCs w:val="20"/>
        </w:rPr>
        <w:t xml:space="preserve">  </w:t>
      </w:r>
      <w:r w:rsidRPr="001E651B">
        <w:rPr>
          <w:i/>
          <w:sz w:val="20"/>
          <w:szCs w:val="20"/>
        </w:rPr>
        <w:t>Transfusion</w:t>
      </w:r>
      <w:r>
        <w:rPr>
          <w:sz w:val="20"/>
          <w:szCs w:val="20"/>
        </w:rPr>
        <w:t xml:space="preserve"> 2001; 51: 2066-77.</w:t>
      </w:r>
    </w:p>
    <w:p w:rsidR="001E651B" w:rsidRDefault="001E651B" w:rsidP="00E4564D">
      <w:pPr>
        <w:pStyle w:val="ListParagraph"/>
        <w:numPr>
          <w:ilvl w:val="0"/>
          <w:numId w:val="7"/>
        </w:numPr>
        <w:spacing w:after="0" w:line="240" w:lineRule="auto"/>
        <w:rPr>
          <w:sz w:val="20"/>
          <w:szCs w:val="20"/>
        </w:rPr>
      </w:pPr>
      <w:proofErr w:type="spellStart"/>
      <w:r>
        <w:rPr>
          <w:sz w:val="20"/>
          <w:szCs w:val="20"/>
        </w:rPr>
        <w:t>Chibisov</w:t>
      </w:r>
      <w:proofErr w:type="spellEnd"/>
      <w:r>
        <w:rPr>
          <w:sz w:val="20"/>
          <w:szCs w:val="20"/>
        </w:rPr>
        <w:t xml:space="preserve"> I. </w:t>
      </w:r>
      <w:proofErr w:type="spellStart"/>
      <w:r>
        <w:rPr>
          <w:sz w:val="20"/>
          <w:szCs w:val="20"/>
        </w:rPr>
        <w:t>Streategies</w:t>
      </w:r>
      <w:proofErr w:type="spellEnd"/>
      <w:r>
        <w:rPr>
          <w:sz w:val="20"/>
          <w:szCs w:val="20"/>
        </w:rPr>
        <w:t xml:space="preserve"> for Reversal of Anticoagulants, Part 1: Warfarin, Unfractionated Heparin and Low Molecular Weight Heparins.  </w:t>
      </w:r>
      <w:r w:rsidRPr="001E651B">
        <w:rPr>
          <w:i/>
          <w:sz w:val="20"/>
          <w:szCs w:val="20"/>
        </w:rPr>
        <w:t>Transfusion Medicine Update</w:t>
      </w:r>
      <w:r>
        <w:rPr>
          <w:sz w:val="20"/>
          <w:szCs w:val="20"/>
        </w:rPr>
        <w:t xml:space="preserve"> (Institute for Transfusion Medicine) issue #5, 2007.</w:t>
      </w:r>
    </w:p>
    <w:p w:rsidR="001E651B" w:rsidRDefault="001E651B" w:rsidP="00E4564D">
      <w:pPr>
        <w:pStyle w:val="ListParagraph"/>
        <w:numPr>
          <w:ilvl w:val="0"/>
          <w:numId w:val="7"/>
        </w:numPr>
        <w:spacing w:after="0" w:line="240" w:lineRule="auto"/>
        <w:rPr>
          <w:sz w:val="20"/>
          <w:szCs w:val="20"/>
        </w:rPr>
      </w:pPr>
      <w:proofErr w:type="spellStart"/>
      <w:r>
        <w:rPr>
          <w:sz w:val="20"/>
          <w:szCs w:val="20"/>
        </w:rPr>
        <w:t>Chibisov</w:t>
      </w:r>
      <w:proofErr w:type="spellEnd"/>
      <w:r>
        <w:rPr>
          <w:sz w:val="20"/>
          <w:szCs w:val="20"/>
        </w:rPr>
        <w:t xml:space="preserve"> I. Strategies for Reversal of Anticoagulants, Part 2: The Newer </w:t>
      </w:r>
      <w:proofErr w:type="spellStart"/>
      <w:r>
        <w:rPr>
          <w:sz w:val="20"/>
          <w:szCs w:val="20"/>
        </w:rPr>
        <w:t>Anticoagulatn</w:t>
      </w:r>
      <w:proofErr w:type="spellEnd"/>
      <w:r>
        <w:rPr>
          <w:sz w:val="20"/>
          <w:szCs w:val="20"/>
        </w:rPr>
        <w:t xml:space="preserve"> Agents.  </w:t>
      </w:r>
      <w:r w:rsidRPr="001E651B">
        <w:rPr>
          <w:i/>
          <w:sz w:val="20"/>
          <w:szCs w:val="20"/>
        </w:rPr>
        <w:t>Transfusion Medicine Update</w:t>
      </w:r>
      <w:r>
        <w:rPr>
          <w:sz w:val="20"/>
          <w:szCs w:val="20"/>
        </w:rPr>
        <w:t xml:space="preserve"> (Institute for Transfusion Medicine) issue #6, 2007.</w:t>
      </w:r>
    </w:p>
    <w:p w:rsidR="001E651B" w:rsidRDefault="001E651B" w:rsidP="00E4564D">
      <w:pPr>
        <w:pStyle w:val="ListParagraph"/>
        <w:numPr>
          <w:ilvl w:val="0"/>
          <w:numId w:val="7"/>
        </w:numPr>
        <w:spacing w:after="0" w:line="240" w:lineRule="auto"/>
        <w:rPr>
          <w:sz w:val="20"/>
          <w:szCs w:val="20"/>
        </w:rPr>
      </w:pPr>
      <w:proofErr w:type="spellStart"/>
      <w:r>
        <w:rPr>
          <w:sz w:val="20"/>
          <w:szCs w:val="20"/>
        </w:rPr>
        <w:t>Chibisov</w:t>
      </w:r>
      <w:proofErr w:type="spellEnd"/>
      <w:r>
        <w:rPr>
          <w:sz w:val="20"/>
          <w:szCs w:val="20"/>
        </w:rPr>
        <w:t xml:space="preserve"> I and </w:t>
      </w:r>
      <w:proofErr w:type="spellStart"/>
      <w:r>
        <w:rPr>
          <w:sz w:val="20"/>
          <w:szCs w:val="20"/>
        </w:rPr>
        <w:t>Hassett</w:t>
      </w:r>
      <w:proofErr w:type="spellEnd"/>
      <w:r>
        <w:rPr>
          <w:sz w:val="20"/>
          <w:szCs w:val="20"/>
        </w:rPr>
        <w:t xml:space="preserve"> AC.  </w:t>
      </w:r>
      <w:proofErr w:type="spellStart"/>
      <w:r>
        <w:rPr>
          <w:sz w:val="20"/>
          <w:szCs w:val="20"/>
        </w:rPr>
        <w:t>Dabigatran</w:t>
      </w:r>
      <w:proofErr w:type="spellEnd"/>
      <w:r>
        <w:rPr>
          <w:sz w:val="20"/>
          <w:szCs w:val="20"/>
        </w:rPr>
        <w:t xml:space="preserve">: A new oral anticoagulant and its role in clinical practices.  </w:t>
      </w:r>
      <w:r w:rsidRPr="001E651B">
        <w:rPr>
          <w:i/>
          <w:sz w:val="20"/>
          <w:szCs w:val="20"/>
        </w:rPr>
        <w:t>Transfusion Medicine Update</w:t>
      </w:r>
      <w:r>
        <w:rPr>
          <w:sz w:val="20"/>
          <w:szCs w:val="20"/>
        </w:rPr>
        <w:t xml:space="preserve"> (Institute for Transfusion Medi</w:t>
      </w:r>
      <w:r w:rsidR="008E3CD6">
        <w:rPr>
          <w:sz w:val="20"/>
          <w:szCs w:val="20"/>
        </w:rPr>
        <w:t>cine) issue #1, 2011.</w:t>
      </w:r>
    </w:p>
    <w:p w:rsidR="008E3CD6" w:rsidRDefault="008E3CD6" w:rsidP="00E4564D">
      <w:pPr>
        <w:pStyle w:val="ListParagraph"/>
        <w:numPr>
          <w:ilvl w:val="0"/>
          <w:numId w:val="7"/>
        </w:numPr>
        <w:spacing w:after="0" w:line="240" w:lineRule="auto"/>
        <w:rPr>
          <w:sz w:val="20"/>
          <w:szCs w:val="20"/>
        </w:rPr>
      </w:pPr>
      <w:r>
        <w:rPr>
          <w:sz w:val="20"/>
          <w:szCs w:val="20"/>
        </w:rPr>
        <w:t>Clopidogrel (Plavix) package insert.  Revised 12/2011.  Bristol-Myers-Squibb</w:t>
      </w:r>
    </w:p>
    <w:p w:rsidR="008E3CD6" w:rsidRDefault="008E3CD6" w:rsidP="00E4564D">
      <w:pPr>
        <w:pStyle w:val="ListParagraph"/>
        <w:numPr>
          <w:ilvl w:val="0"/>
          <w:numId w:val="7"/>
        </w:numPr>
        <w:spacing w:after="0" w:line="240" w:lineRule="auto"/>
        <w:rPr>
          <w:sz w:val="20"/>
          <w:szCs w:val="20"/>
        </w:rPr>
      </w:pPr>
      <w:proofErr w:type="spellStart"/>
      <w:r>
        <w:rPr>
          <w:sz w:val="20"/>
          <w:szCs w:val="20"/>
        </w:rPr>
        <w:t>Douketis</w:t>
      </w:r>
      <w:proofErr w:type="spellEnd"/>
      <w:r>
        <w:rPr>
          <w:sz w:val="20"/>
          <w:szCs w:val="20"/>
        </w:rPr>
        <w:t xml:space="preserve"> JD, Perioperative management of patients who are receiving warfarin therapy: an evidence =based and practical approach.  </w:t>
      </w:r>
      <w:r w:rsidRPr="008E3CD6">
        <w:rPr>
          <w:i/>
          <w:sz w:val="20"/>
          <w:szCs w:val="20"/>
        </w:rPr>
        <w:t>Blood</w:t>
      </w:r>
      <w:r>
        <w:rPr>
          <w:sz w:val="20"/>
          <w:szCs w:val="20"/>
        </w:rPr>
        <w:t xml:space="preserve"> 2011; 117:5044–49.</w:t>
      </w:r>
    </w:p>
    <w:p w:rsidR="008E3CD6" w:rsidRDefault="008E3CD6" w:rsidP="00E4564D">
      <w:pPr>
        <w:pStyle w:val="ListParagraph"/>
        <w:numPr>
          <w:ilvl w:val="0"/>
          <w:numId w:val="7"/>
        </w:numPr>
        <w:spacing w:after="0" w:line="240" w:lineRule="auto"/>
        <w:rPr>
          <w:sz w:val="20"/>
          <w:szCs w:val="20"/>
        </w:rPr>
      </w:pPr>
      <w:proofErr w:type="spellStart"/>
      <w:r>
        <w:rPr>
          <w:sz w:val="20"/>
          <w:szCs w:val="20"/>
        </w:rPr>
        <w:t>Eerenberg</w:t>
      </w:r>
      <w:proofErr w:type="spellEnd"/>
      <w:r>
        <w:rPr>
          <w:sz w:val="20"/>
          <w:szCs w:val="20"/>
        </w:rPr>
        <w:t xml:space="preserve"> ES.  Reversal of </w:t>
      </w:r>
      <w:proofErr w:type="spellStart"/>
      <w:r>
        <w:rPr>
          <w:sz w:val="20"/>
          <w:szCs w:val="20"/>
        </w:rPr>
        <w:t>Rivaroxaban</w:t>
      </w:r>
      <w:proofErr w:type="spellEnd"/>
      <w:r>
        <w:rPr>
          <w:sz w:val="20"/>
          <w:szCs w:val="20"/>
        </w:rPr>
        <w:t xml:space="preserve"> and </w:t>
      </w:r>
      <w:proofErr w:type="spellStart"/>
      <w:r>
        <w:rPr>
          <w:sz w:val="20"/>
          <w:szCs w:val="20"/>
        </w:rPr>
        <w:t>Dabigatran</w:t>
      </w:r>
      <w:proofErr w:type="spellEnd"/>
      <w:r>
        <w:rPr>
          <w:sz w:val="20"/>
          <w:szCs w:val="20"/>
        </w:rPr>
        <w:t xml:space="preserve"> by Prothrombin Complex Concentrate.  </w:t>
      </w:r>
      <w:r w:rsidRPr="008E3CD6">
        <w:rPr>
          <w:i/>
          <w:sz w:val="20"/>
          <w:szCs w:val="20"/>
        </w:rPr>
        <w:t>Circulation</w:t>
      </w:r>
      <w:r>
        <w:rPr>
          <w:sz w:val="20"/>
          <w:szCs w:val="20"/>
        </w:rPr>
        <w:t xml:space="preserve"> 2011; 124: 1573-79.</w:t>
      </w:r>
    </w:p>
    <w:p w:rsidR="008E3CD6" w:rsidRDefault="005E41D4" w:rsidP="00E4564D">
      <w:pPr>
        <w:pStyle w:val="ListParagraph"/>
        <w:numPr>
          <w:ilvl w:val="0"/>
          <w:numId w:val="7"/>
        </w:numPr>
        <w:spacing w:after="0" w:line="240" w:lineRule="auto"/>
        <w:rPr>
          <w:sz w:val="20"/>
          <w:szCs w:val="20"/>
        </w:rPr>
      </w:pPr>
      <w:r>
        <w:rPr>
          <w:sz w:val="20"/>
          <w:szCs w:val="20"/>
        </w:rPr>
        <w:t xml:space="preserve">Eriksson BI, </w:t>
      </w:r>
      <w:proofErr w:type="spellStart"/>
      <w:r>
        <w:rPr>
          <w:sz w:val="20"/>
          <w:szCs w:val="20"/>
        </w:rPr>
        <w:t>Quintan</w:t>
      </w:r>
      <w:proofErr w:type="spellEnd"/>
      <w:r>
        <w:rPr>
          <w:sz w:val="20"/>
          <w:szCs w:val="20"/>
        </w:rPr>
        <w:t xml:space="preserve"> DJ, </w:t>
      </w:r>
      <w:proofErr w:type="spellStart"/>
      <w:r>
        <w:rPr>
          <w:sz w:val="20"/>
          <w:szCs w:val="20"/>
        </w:rPr>
        <w:t>Weitz</w:t>
      </w:r>
      <w:proofErr w:type="spellEnd"/>
      <w:r>
        <w:rPr>
          <w:sz w:val="20"/>
          <w:szCs w:val="20"/>
        </w:rPr>
        <w:t xml:space="preserve"> JI, et al.  Comparative pharmacodynamics and pharmacokinetics of oral and direct thrombin and factor Xa inhibitors in development.  </w:t>
      </w:r>
      <w:proofErr w:type="spellStart"/>
      <w:r>
        <w:rPr>
          <w:sz w:val="20"/>
          <w:szCs w:val="20"/>
        </w:rPr>
        <w:t>Clin</w:t>
      </w:r>
      <w:proofErr w:type="spellEnd"/>
      <w:r>
        <w:rPr>
          <w:sz w:val="20"/>
          <w:szCs w:val="20"/>
        </w:rPr>
        <w:t xml:space="preserve"> </w:t>
      </w:r>
      <w:proofErr w:type="spellStart"/>
      <w:r>
        <w:rPr>
          <w:sz w:val="20"/>
          <w:szCs w:val="20"/>
        </w:rPr>
        <w:t>Pharmacokinet</w:t>
      </w:r>
      <w:proofErr w:type="spellEnd"/>
      <w:r>
        <w:rPr>
          <w:sz w:val="20"/>
          <w:szCs w:val="20"/>
        </w:rPr>
        <w:t xml:space="preserve"> 2009: 28:1-22.</w:t>
      </w:r>
    </w:p>
    <w:p w:rsidR="005E41D4" w:rsidRDefault="005E41D4" w:rsidP="00E4564D">
      <w:pPr>
        <w:pStyle w:val="ListParagraph"/>
        <w:numPr>
          <w:ilvl w:val="0"/>
          <w:numId w:val="7"/>
        </w:numPr>
        <w:spacing w:after="0" w:line="240" w:lineRule="auto"/>
        <w:rPr>
          <w:sz w:val="20"/>
          <w:szCs w:val="20"/>
        </w:rPr>
      </w:pPr>
      <w:r>
        <w:rPr>
          <w:sz w:val="20"/>
          <w:szCs w:val="20"/>
        </w:rPr>
        <w:t>Eptifibatide (Integrilin) package insert.  Revised 03/2011.  Merck and Co., Inc.</w:t>
      </w:r>
    </w:p>
    <w:p w:rsidR="005E41D4" w:rsidRDefault="005E41D4" w:rsidP="00E4564D">
      <w:pPr>
        <w:pStyle w:val="ListParagraph"/>
        <w:numPr>
          <w:ilvl w:val="0"/>
          <w:numId w:val="7"/>
        </w:numPr>
        <w:spacing w:after="0" w:line="240" w:lineRule="auto"/>
        <w:rPr>
          <w:sz w:val="20"/>
          <w:szCs w:val="20"/>
        </w:rPr>
      </w:pPr>
      <w:r>
        <w:rPr>
          <w:sz w:val="20"/>
          <w:szCs w:val="20"/>
        </w:rPr>
        <w:t>Prasugrel (Effient) package insert.  Revised 12/2011.  Eli Lilly and Company.</w:t>
      </w:r>
    </w:p>
    <w:p w:rsidR="005E41D4" w:rsidRDefault="005E41D4" w:rsidP="00E4564D">
      <w:pPr>
        <w:pStyle w:val="ListParagraph"/>
        <w:numPr>
          <w:ilvl w:val="0"/>
          <w:numId w:val="7"/>
        </w:numPr>
        <w:spacing w:after="0" w:line="240" w:lineRule="auto"/>
        <w:rPr>
          <w:sz w:val="20"/>
          <w:szCs w:val="20"/>
        </w:rPr>
      </w:pPr>
      <w:proofErr w:type="spellStart"/>
      <w:r>
        <w:rPr>
          <w:sz w:val="20"/>
          <w:szCs w:val="20"/>
        </w:rPr>
        <w:t>Ticagrelor</w:t>
      </w:r>
      <w:proofErr w:type="spellEnd"/>
      <w:r>
        <w:rPr>
          <w:sz w:val="20"/>
          <w:szCs w:val="20"/>
        </w:rPr>
        <w:t xml:space="preserve"> (Brilinta) package insert.  Revised 07-2011. AstraZeneca LP</w:t>
      </w:r>
    </w:p>
    <w:p w:rsidR="005E41D4" w:rsidRDefault="00142BF4" w:rsidP="00E4564D">
      <w:pPr>
        <w:pStyle w:val="ListParagraph"/>
        <w:numPr>
          <w:ilvl w:val="0"/>
          <w:numId w:val="7"/>
        </w:numPr>
        <w:spacing w:after="0" w:line="240" w:lineRule="auto"/>
        <w:rPr>
          <w:sz w:val="20"/>
          <w:szCs w:val="20"/>
        </w:rPr>
      </w:pPr>
      <w:r>
        <w:rPr>
          <w:sz w:val="20"/>
          <w:szCs w:val="20"/>
        </w:rPr>
        <w:t xml:space="preserve">Ticlopidine (Ticlid) package insert.  Revised 12/2005. Roche </w:t>
      </w:r>
      <w:proofErr w:type="spellStart"/>
      <w:r>
        <w:rPr>
          <w:sz w:val="20"/>
          <w:szCs w:val="20"/>
        </w:rPr>
        <w:t>Laboratoreis</w:t>
      </w:r>
      <w:proofErr w:type="spellEnd"/>
      <w:r>
        <w:rPr>
          <w:sz w:val="20"/>
          <w:szCs w:val="20"/>
        </w:rPr>
        <w:t>, Inc.</w:t>
      </w:r>
    </w:p>
    <w:p w:rsidR="00142BF4" w:rsidRDefault="00142BF4" w:rsidP="00E4564D">
      <w:pPr>
        <w:pStyle w:val="ListParagraph"/>
        <w:numPr>
          <w:ilvl w:val="0"/>
          <w:numId w:val="7"/>
        </w:numPr>
        <w:spacing w:after="0" w:line="240" w:lineRule="auto"/>
        <w:rPr>
          <w:sz w:val="20"/>
          <w:szCs w:val="20"/>
        </w:rPr>
      </w:pPr>
      <w:r>
        <w:rPr>
          <w:sz w:val="20"/>
          <w:szCs w:val="20"/>
        </w:rPr>
        <w:t xml:space="preserve">Tirofiban (Aggrastat) package insert.  Revised 05/2011. </w:t>
      </w:r>
      <w:proofErr w:type="spellStart"/>
      <w:r>
        <w:rPr>
          <w:sz w:val="20"/>
          <w:szCs w:val="20"/>
        </w:rPr>
        <w:t>Medicure</w:t>
      </w:r>
      <w:proofErr w:type="spellEnd"/>
      <w:r>
        <w:rPr>
          <w:sz w:val="20"/>
          <w:szCs w:val="20"/>
        </w:rPr>
        <w:t>, Inc.</w:t>
      </w:r>
    </w:p>
    <w:p w:rsidR="00142BF4" w:rsidRPr="00AE7DE6" w:rsidRDefault="00142BF4" w:rsidP="00E4564D">
      <w:pPr>
        <w:pStyle w:val="ListParagraph"/>
        <w:numPr>
          <w:ilvl w:val="0"/>
          <w:numId w:val="7"/>
        </w:numPr>
        <w:spacing w:after="0" w:line="240" w:lineRule="auto"/>
        <w:rPr>
          <w:sz w:val="20"/>
          <w:szCs w:val="20"/>
        </w:rPr>
      </w:pPr>
      <w:proofErr w:type="gramStart"/>
      <w:r>
        <w:rPr>
          <w:sz w:val="20"/>
          <w:szCs w:val="20"/>
        </w:rPr>
        <w:t>van</w:t>
      </w:r>
      <w:proofErr w:type="gramEnd"/>
      <w:r>
        <w:rPr>
          <w:sz w:val="20"/>
          <w:szCs w:val="20"/>
        </w:rPr>
        <w:t xml:space="preserve"> </w:t>
      </w:r>
      <w:proofErr w:type="spellStart"/>
      <w:r>
        <w:rPr>
          <w:sz w:val="20"/>
          <w:szCs w:val="20"/>
        </w:rPr>
        <w:t>Ryn</w:t>
      </w:r>
      <w:proofErr w:type="spellEnd"/>
      <w:r>
        <w:rPr>
          <w:sz w:val="20"/>
          <w:szCs w:val="20"/>
        </w:rPr>
        <w:t xml:space="preserve">, et al.  </w:t>
      </w:r>
      <w:proofErr w:type="spellStart"/>
      <w:r>
        <w:rPr>
          <w:sz w:val="20"/>
          <w:szCs w:val="20"/>
        </w:rPr>
        <w:t>Dabigatran</w:t>
      </w:r>
      <w:proofErr w:type="spellEnd"/>
      <w:r>
        <w:rPr>
          <w:sz w:val="20"/>
          <w:szCs w:val="20"/>
        </w:rPr>
        <w:t xml:space="preserve"> </w:t>
      </w:r>
      <w:proofErr w:type="spellStart"/>
      <w:r>
        <w:rPr>
          <w:sz w:val="20"/>
          <w:szCs w:val="20"/>
        </w:rPr>
        <w:t>etexilate</w:t>
      </w:r>
      <w:proofErr w:type="spellEnd"/>
      <w:r>
        <w:rPr>
          <w:sz w:val="20"/>
          <w:szCs w:val="20"/>
        </w:rPr>
        <w:t xml:space="preserve">: A novel, reversible, oral direct thrombin inhibitor: interpretation of coagulation assays and reversal of anticoagulant activity.  </w:t>
      </w:r>
      <w:proofErr w:type="spellStart"/>
      <w:r w:rsidRPr="00142BF4">
        <w:rPr>
          <w:i/>
          <w:sz w:val="20"/>
          <w:szCs w:val="20"/>
        </w:rPr>
        <w:t>Thomb</w:t>
      </w:r>
      <w:proofErr w:type="spellEnd"/>
      <w:r w:rsidRPr="00142BF4">
        <w:rPr>
          <w:i/>
          <w:sz w:val="20"/>
          <w:szCs w:val="20"/>
        </w:rPr>
        <w:t xml:space="preserve"> </w:t>
      </w:r>
      <w:proofErr w:type="spellStart"/>
      <w:r w:rsidRPr="00142BF4">
        <w:rPr>
          <w:i/>
          <w:sz w:val="20"/>
          <w:szCs w:val="20"/>
        </w:rPr>
        <w:t>Haemost</w:t>
      </w:r>
      <w:proofErr w:type="spellEnd"/>
      <w:r>
        <w:rPr>
          <w:sz w:val="20"/>
          <w:szCs w:val="20"/>
        </w:rPr>
        <w:t xml:space="preserve"> 2010; 103: 1116-27.</w:t>
      </w:r>
    </w:p>
    <w:p w:rsidR="003B014D" w:rsidRDefault="003B014D" w:rsidP="00447F5A">
      <w:pPr>
        <w:spacing w:after="0" w:line="240" w:lineRule="auto"/>
        <w:rPr>
          <w:sz w:val="20"/>
          <w:szCs w:val="20"/>
        </w:rPr>
      </w:pPr>
    </w:p>
    <w:p w:rsidR="0060267B" w:rsidRDefault="0060267B" w:rsidP="00447F5A">
      <w:pPr>
        <w:spacing w:after="0" w:line="240" w:lineRule="auto"/>
        <w:rPr>
          <w:sz w:val="20"/>
          <w:szCs w:val="20"/>
        </w:rPr>
      </w:pPr>
    </w:p>
    <w:p w:rsidR="0060267B" w:rsidRPr="0060267B" w:rsidRDefault="0060267B" w:rsidP="0060267B">
      <w:pPr>
        <w:spacing w:after="0" w:line="240" w:lineRule="auto"/>
        <w:jc w:val="right"/>
        <w:rPr>
          <w:color w:val="7F7F7F" w:themeColor="text1" w:themeTint="80"/>
          <w:sz w:val="16"/>
          <w:szCs w:val="16"/>
        </w:rPr>
      </w:pPr>
      <w:r w:rsidRPr="0060267B">
        <w:rPr>
          <w:color w:val="7F7F7F" w:themeColor="text1" w:themeTint="80"/>
          <w:sz w:val="16"/>
          <w:szCs w:val="16"/>
        </w:rPr>
        <w:t>TEG – Drug Table (Feb 2014)</w:t>
      </w:r>
    </w:p>
    <w:sectPr w:rsidR="0060267B" w:rsidRPr="0060267B" w:rsidSect="00067AF0">
      <w:pgSz w:w="15840" w:h="12240" w:orient="landscape"/>
      <w:pgMar w:top="720"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E2" w:rsidRDefault="00271DE2" w:rsidP="00BE6E91">
      <w:pPr>
        <w:spacing w:after="0" w:line="240" w:lineRule="auto"/>
      </w:pPr>
      <w:r>
        <w:separator/>
      </w:r>
    </w:p>
  </w:endnote>
  <w:endnote w:type="continuationSeparator" w:id="0">
    <w:p w:rsidR="00271DE2" w:rsidRDefault="00271DE2" w:rsidP="00BE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E2" w:rsidRDefault="00271DE2" w:rsidP="00BE6E91">
      <w:pPr>
        <w:spacing w:after="0" w:line="240" w:lineRule="auto"/>
      </w:pPr>
      <w:r>
        <w:separator/>
      </w:r>
    </w:p>
  </w:footnote>
  <w:footnote w:type="continuationSeparator" w:id="0">
    <w:p w:rsidR="00271DE2" w:rsidRDefault="00271DE2" w:rsidP="00BE6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75"/>
    <w:multiLevelType w:val="hybridMultilevel"/>
    <w:tmpl w:val="66D0B81E"/>
    <w:lvl w:ilvl="0" w:tplc="F7AE5F0C">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35D91"/>
    <w:multiLevelType w:val="hybridMultilevel"/>
    <w:tmpl w:val="B1E4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55ED8"/>
    <w:multiLevelType w:val="hybridMultilevel"/>
    <w:tmpl w:val="9D7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3CCA"/>
    <w:multiLevelType w:val="hybridMultilevel"/>
    <w:tmpl w:val="C41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D2590"/>
    <w:multiLevelType w:val="hybridMultilevel"/>
    <w:tmpl w:val="707237E4"/>
    <w:lvl w:ilvl="0" w:tplc="F7AE5F0C">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A38C6"/>
    <w:multiLevelType w:val="hybridMultilevel"/>
    <w:tmpl w:val="8B6066D6"/>
    <w:lvl w:ilvl="0" w:tplc="F7AE5F0C">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636CA"/>
    <w:multiLevelType w:val="hybridMultilevel"/>
    <w:tmpl w:val="282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4348D"/>
    <w:multiLevelType w:val="hybridMultilevel"/>
    <w:tmpl w:val="9E50C9C0"/>
    <w:lvl w:ilvl="0" w:tplc="F7AE5F0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F5E80"/>
    <w:multiLevelType w:val="hybridMultilevel"/>
    <w:tmpl w:val="B7C8FD58"/>
    <w:lvl w:ilvl="0" w:tplc="F7AE5F0C">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A2532"/>
    <w:multiLevelType w:val="hybridMultilevel"/>
    <w:tmpl w:val="37F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47105"/>
    <w:multiLevelType w:val="hybridMultilevel"/>
    <w:tmpl w:val="B37E87D2"/>
    <w:lvl w:ilvl="0" w:tplc="F7AE5F0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504D5"/>
    <w:multiLevelType w:val="hybridMultilevel"/>
    <w:tmpl w:val="6CE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E6302"/>
    <w:multiLevelType w:val="hybridMultilevel"/>
    <w:tmpl w:val="3C7811DC"/>
    <w:lvl w:ilvl="0" w:tplc="F7AE5F0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06D1E"/>
    <w:multiLevelType w:val="multilevel"/>
    <w:tmpl w:val="BDB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8"/>
  </w:num>
  <w:num w:numId="5">
    <w:abstractNumId w:val="7"/>
  </w:num>
  <w:num w:numId="6">
    <w:abstractNumId w:val="12"/>
  </w:num>
  <w:num w:numId="7">
    <w:abstractNumId w:val="1"/>
  </w:num>
  <w:num w:numId="8">
    <w:abstractNumId w:val="4"/>
  </w:num>
  <w:num w:numId="9">
    <w:abstractNumId w:val="13"/>
  </w:num>
  <w:num w:numId="10">
    <w:abstractNumId w:val="2"/>
  </w:num>
  <w:num w:numId="11">
    <w:abstractNumId w:val="1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1B"/>
    <w:rsid w:val="00005303"/>
    <w:rsid w:val="00014681"/>
    <w:rsid w:val="00045487"/>
    <w:rsid w:val="000600BC"/>
    <w:rsid w:val="00067AF0"/>
    <w:rsid w:val="000B1C6A"/>
    <w:rsid w:val="000C4DEB"/>
    <w:rsid w:val="000E4D7F"/>
    <w:rsid w:val="000E5487"/>
    <w:rsid w:val="00142BF4"/>
    <w:rsid w:val="00143D51"/>
    <w:rsid w:val="00185392"/>
    <w:rsid w:val="001A230E"/>
    <w:rsid w:val="001A5CF6"/>
    <w:rsid w:val="001E651B"/>
    <w:rsid w:val="001E664E"/>
    <w:rsid w:val="001F1CE5"/>
    <w:rsid w:val="0021573F"/>
    <w:rsid w:val="00271DE2"/>
    <w:rsid w:val="002A761B"/>
    <w:rsid w:val="002C40EA"/>
    <w:rsid w:val="002C514C"/>
    <w:rsid w:val="002D0A8E"/>
    <w:rsid w:val="002D459B"/>
    <w:rsid w:val="002D7445"/>
    <w:rsid w:val="002E4A95"/>
    <w:rsid w:val="002F7F6B"/>
    <w:rsid w:val="00320F2B"/>
    <w:rsid w:val="00334FAA"/>
    <w:rsid w:val="003519B3"/>
    <w:rsid w:val="00384D05"/>
    <w:rsid w:val="00385CAE"/>
    <w:rsid w:val="00393637"/>
    <w:rsid w:val="003B014D"/>
    <w:rsid w:val="003E0F3E"/>
    <w:rsid w:val="003F219F"/>
    <w:rsid w:val="003F561C"/>
    <w:rsid w:val="00402448"/>
    <w:rsid w:val="00407A6C"/>
    <w:rsid w:val="00431EE5"/>
    <w:rsid w:val="00447F5A"/>
    <w:rsid w:val="00480F91"/>
    <w:rsid w:val="00480F9E"/>
    <w:rsid w:val="004A497F"/>
    <w:rsid w:val="004C3BDD"/>
    <w:rsid w:val="004C76D6"/>
    <w:rsid w:val="004E5963"/>
    <w:rsid w:val="00511CB5"/>
    <w:rsid w:val="00523100"/>
    <w:rsid w:val="005276BA"/>
    <w:rsid w:val="0058247C"/>
    <w:rsid w:val="005B7380"/>
    <w:rsid w:val="005E41D4"/>
    <w:rsid w:val="005F0D55"/>
    <w:rsid w:val="005F72BC"/>
    <w:rsid w:val="0060267B"/>
    <w:rsid w:val="00610CF8"/>
    <w:rsid w:val="006471F9"/>
    <w:rsid w:val="00652800"/>
    <w:rsid w:val="00652912"/>
    <w:rsid w:val="00666296"/>
    <w:rsid w:val="006824BE"/>
    <w:rsid w:val="00691457"/>
    <w:rsid w:val="00691943"/>
    <w:rsid w:val="006A44D7"/>
    <w:rsid w:val="006D513C"/>
    <w:rsid w:val="006D525B"/>
    <w:rsid w:val="00707210"/>
    <w:rsid w:val="00724DE5"/>
    <w:rsid w:val="00726691"/>
    <w:rsid w:val="00770481"/>
    <w:rsid w:val="00771F60"/>
    <w:rsid w:val="007900C3"/>
    <w:rsid w:val="00792FB5"/>
    <w:rsid w:val="007D20A8"/>
    <w:rsid w:val="008068BD"/>
    <w:rsid w:val="00807B1C"/>
    <w:rsid w:val="008139D4"/>
    <w:rsid w:val="00845CB8"/>
    <w:rsid w:val="00893431"/>
    <w:rsid w:val="008B18D3"/>
    <w:rsid w:val="008B5529"/>
    <w:rsid w:val="008C241D"/>
    <w:rsid w:val="008E3CD6"/>
    <w:rsid w:val="0091195B"/>
    <w:rsid w:val="00931E50"/>
    <w:rsid w:val="009546CF"/>
    <w:rsid w:val="00973667"/>
    <w:rsid w:val="009B2740"/>
    <w:rsid w:val="009D3945"/>
    <w:rsid w:val="00A4544D"/>
    <w:rsid w:val="00A50F94"/>
    <w:rsid w:val="00A57245"/>
    <w:rsid w:val="00A62384"/>
    <w:rsid w:val="00A674A2"/>
    <w:rsid w:val="00A94F18"/>
    <w:rsid w:val="00A95721"/>
    <w:rsid w:val="00AA791F"/>
    <w:rsid w:val="00AA7A75"/>
    <w:rsid w:val="00AB2019"/>
    <w:rsid w:val="00AB4B84"/>
    <w:rsid w:val="00AC33F7"/>
    <w:rsid w:val="00AC52A0"/>
    <w:rsid w:val="00AE1C43"/>
    <w:rsid w:val="00AE3F94"/>
    <w:rsid w:val="00AE7DE6"/>
    <w:rsid w:val="00B60136"/>
    <w:rsid w:val="00B70306"/>
    <w:rsid w:val="00B74398"/>
    <w:rsid w:val="00BA25B0"/>
    <w:rsid w:val="00BB0999"/>
    <w:rsid w:val="00BB21F2"/>
    <w:rsid w:val="00BB43D5"/>
    <w:rsid w:val="00BC7A2F"/>
    <w:rsid w:val="00BD7622"/>
    <w:rsid w:val="00BE58BC"/>
    <w:rsid w:val="00BE6E91"/>
    <w:rsid w:val="00BF3590"/>
    <w:rsid w:val="00BF3CBF"/>
    <w:rsid w:val="00C63321"/>
    <w:rsid w:val="00C75FF4"/>
    <w:rsid w:val="00C8017D"/>
    <w:rsid w:val="00C82D74"/>
    <w:rsid w:val="00CD6D2D"/>
    <w:rsid w:val="00D42973"/>
    <w:rsid w:val="00D66342"/>
    <w:rsid w:val="00DA44A4"/>
    <w:rsid w:val="00DF04D0"/>
    <w:rsid w:val="00DF1EA2"/>
    <w:rsid w:val="00DF7B74"/>
    <w:rsid w:val="00E06760"/>
    <w:rsid w:val="00E4564D"/>
    <w:rsid w:val="00E71B24"/>
    <w:rsid w:val="00E86199"/>
    <w:rsid w:val="00E97B71"/>
    <w:rsid w:val="00EA33D2"/>
    <w:rsid w:val="00EA7E7A"/>
    <w:rsid w:val="00EB197C"/>
    <w:rsid w:val="00EC5B8E"/>
    <w:rsid w:val="00F006A9"/>
    <w:rsid w:val="00F05453"/>
    <w:rsid w:val="00F37CD8"/>
    <w:rsid w:val="00F715F3"/>
    <w:rsid w:val="00F7427E"/>
    <w:rsid w:val="00FC02BA"/>
    <w:rsid w:val="00FD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1B"/>
    <w:pPr>
      <w:ind w:left="720"/>
      <w:contextualSpacing/>
    </w:pPr>
  </w:style>
  <w:style w:type="paragraph" w:styleId="BalloonText">
    <w:name w:val="Balloon Text"/>
    <w:basedOn w:val="Normal"/>
    <w:link w:val="BalloonTextChar"/>
    <w:uiPriority w:val="99"/>
    <w:semiHidden/>
    <w:unhideWhenUsed/>
    <w:rsid w:val="009D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45"/>
    <w:rPr>
      <w:rFonts w:ascii="Tahoma" w:hAnsi="Tahoma" w:cs="Tahoma"/>
      <w:sz w:val="16"/>
      <w:szCs w:val="16"/>
    </w:rPr>
  </w:style>
  <w:style w:type="paragraph" w:styleId="Header">
    <w:name w:val="header"/>
    <w:basedOn w:val="Normal"/>
    <w:link w:val="HeaderChar"/>
    <w:uiPriority w:val="99"/>
    <w:unhideWhenUsed/>
    <w:rsid w:val="00BE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91"/>
  </w:style>
  <w:style w:type="paragraph" w:styleId="Footer">
    <w:name w:val="footer"/>
    <w:basedOn w:val="Normal"/>
    <w:link w:val="FooterChar"/>
    <w:uiPriority w:val="99"/>
    <w:unhideWhenUsed/>
    <w:rsid w:val="00BE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91"/>
  </w:style>
  <w:style w:type="character" w:styleId="Hyperlink">
    <w:name w:val="Hyperlink"/>
    <w:basedOn w:val="DefaultParagraphFont"/>
    <w:uiPriority w:val="99"/>
    <w:semiHidden/>
    <w:unhideWhenUsed/>
    <w:rsid w:val="00931E50"/>
    <w:rPr>
      <w:color w:val="0000FF"/>
      <w:u w:val="single"/>
    </w:rPr>
  </w:style>
  <w:style w:type="paragraph" w:styleId="NormalWeb">
    <w:name w:val="Normal (Web)"/>
    <w:basedOn w:val="Normal"/>
    <w:uiPriority w:val="99"/>
    <w:unhideWhenUsed/>
    <w:rsid w:val="00931E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1B"/>
    <w:pPr>
      <w:ind w:left="720"/>
      <w:contextualSpacing/>
    </w:pPr>
  </w:style>
  <w:style w:type="paragraph" w:styleId="BalloonText">
    <w:name w:val="Balloon Text"/>
    <w:basedOn w:val="Normal"/>
    <w:link w:val="BalloonTextChar"/>
    <w:uiPriority w:val="99"/>
    <w:semiHidden/>
    <w:unhideWhenUsed/>
    <w:rsid w:val="009D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45"/>
    <w:rPr>
      <w:rFonts w:ascii="Tahoma" w:hAnsi="Tahoma" w:cs="Tahoma"/>
      <w:sz w:val="16"/>
      <w:szCs w:val="16"/>
    </w:rPr>
  </w:style>
  <w:style w:type="paragraph" w:styleId="Header">
    <w:name w:val="header"/>
    <w:basedOn w:val="Normal"/>
    <w:link w:val="HeaderChar"/>
    <w:uiPriority w:val="99"/>
    <w:unhideWhenUsed/>
    <w:rsid w:val="00BE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91"/>
  </w:style>
  <w:style w:type="paragraph" w:styleId="Footer">
    <w:name w:val="footer"/>
    <w:basedOn w:val="Normal"/>
    <w:link w:val="FooterChar"/>
    <w:uiPriority w:val="99"/>
    <w:unhideWhenUsed/>
    <w:rsid w:val="00BE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91"/>
  </w:style>
  <w:style w:type="character" w:styleId="Hyperlink">
    <w:name w:val="Hyperlink"/>
    <w:basedOn w:val="DefaultParagraphFont"/>
    <w:uiPriority w:val="99"/>
    <w:semiHidden/>
    <w:unhideWhenUsed/>
    <w:rsid w:val="00931E50"/>
    <w:rPr>
      <w:color w:val="0000FF"/>
      <w:u w:val="single"/>
    </w:rPr>
  </w:style>
  <w:style w:type="paragraph" w:styleId="NormalWeb">
    <w:name w:val="Normal (Web)"/>
    <w:basedOn w:val="Normal"/>
    <w:uiPriority w:val="99"/>
    <w:unhideWhenUsed/>
    <w:rsid w:val="00931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865">
      <w:bodyDiv w:val="1"/>
      <w:marLeft w:val="0"/>
      <w:marRight w:val="0"/>
      <w:marTop w:val="0"/>
      <w:marBottom w:val="0"/>
      <w:divBdr>
        <w:top w:val="none" w:sz="0" w:space="0" w:color="auto"/>
        <w:left w:val="none" w:sz="0" w:space="0" w:color="auto"/>
        <w:bottom w:val="none" w:sz="0" w:space="0" w:color="auto"/>
        <w:right w:val="none" w:sz="0" w:space="0" w:color="auto"/>
      </w:divBdr>
      <w:divsChild>
        <w:div w:id="72432301">
          <w:marLeft w:val="0"/>
          <w:marRight w:val="0"/>
          <w:marTop w:val="0"/>
          <w:marBottom w:val="0"/>
          <w:divBdr>
            <w:top w:val="none" w:sz="0" w:space="0" w:color="auto"/>
            <w:left w:val="none" w:sz="0" w:space="0" w:color="auto"/>
            <w:bottom w:val="none" w:sz="0" w:space="0" w:color="auto"/>
            <w:right w:val="none" w:sz="0" w:space="0" w:color="auto"/>
          </w:divBdr>
          <w:divsChild>
            <w:div w:id="823159642">
              <w:marLeft w:val="0"/>
              <w:marRight w:val="0"/>
              <w:marTop w:val="0"/>
              <w:marBottom w:val="0"/>
              <w:divBdr>
                <w:top w:val="none" w:sz="0" w:space="0" w:color="auto"/>
                <w:left w:val="none" w:sz="0" w:space="0" w:color="auto"/>
                <w:bottom w:val="none" w:sz="0" w:space="0" w:color="auto"/>
                <w:right w:val="none" w:sz="0" w:space="0" w:color="auto"/>
              </w:divBdr>
              <w:divsChild>
                <w:div w:id="1361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5639">
      <w:bodyDiv w:val="1"/>
      <w:marLeft w:val="0"/>
      <w:marRight w:val="0"/>
      <w:marTop w:val="0"/>
      <w:marBottom w:val="0"/>
      <w:divBdr>
        <w:top w:val="none" w:sz="0" w:space="0" w:color="auto"/>
        <w:left w:val="none" w:sz="0" w:space="0" w:color="auto"/>
        <w:bottom w:val="none" w:sz="0" w:space="0" w:color="auto"/>
        <w:right w:val="none" w:sz="0" w:space="0" w:color="auto"/>
      </w:divBdr>
    </w:div>
    <w:div w:id="1164129998">
      <w:bodyDiv w:val="1"/>
      <w:marLeft w:val="0"/>
      <w:marRight w:val="0"/>
      <w:marTop w:val="0"/>
      <w:marBottom w:val="0"/>
      <w:divBdr>
        <w:top w:val="none" w:sz="0" w:space="0" w:color="auto"/>
        <w:left w:val="none" w:sz="0" w:space="0" w:color="auto"/>
        <w:bottom w:val="none" w:sz="0" w:space="0" w:color="auto"/>
        <w:right w:val="none" w:sz="0" w:space="0" w:color="auto"/>
      </w:divBdr>
    </w:div>
    <w:div w:id="1443187887">
      <w:bodyDiv w:val="1"/>
      <w:marLeft w:val="0"/>
      <w:marRight w:val="0"/>
      <w:marTop w:val="0"/>
      <w:marBottom w:val="0"/>
      <w:divBdr>
        <w:top w:val="none" w:sz="0" w:space="0" w:color="auto"/>
        <w:left w:val="none" w:sz="0" w:space="0" w:color="auto"/>
        <w:bottom w:val="none" w:sz="0" w:space="0" w:color="auto"/>
        <w:right w:val="none" w:sz="0" w:space="0" w:color="auto"/>
      </w:divBdr>
      <w:divsChild>
        <w:div w:id="1499492422">
          <w:marLeft w:val="0"/>
          <w:marRight w:val="0"/>
          <w:marTop w:val="0"/>
          <w:marBottom w:val="0"/>
          <w:divBdr>
            <w:top w:val="none" w:sz="0" w:space="0" w:color="auto"/>
            <w:left w:val="none" w:sz="0" w:space="0" w:color="auto"/>
            <w:bottom w:val="none" w:sz="0" w:space="0" w:color="auto"/>
            <w:right w:val="none" w:sz="0" w:space="0" w:color="auto"/>
          </w:divBdr>
          <w:divsChild>
            <w:div w:id="118501432">
              <w:marLeft w:val="0"/>
              <w:marRight w:val="0"/>
              <w:marTop w:val="0"/>
              <w:marBottom w:val="0"/>
              <w:divBdr>
                <w:top w:val="none" w:sz="0" w:space="0" w:color="auto"/>
                <w:left w:val="none" w:sz="0" w:space="0" w:color="auto"/>
                <w:bottom w:val="none" w:sz="0" w:space="0" w:color="auto"/>
                <w:right w:val="none" w:sz="0" w:space="0" w:color="auto"/>
              </w:divBdr>
              <w:divsChild>
                <w:div w:id="12071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1504">
      <w:bodyDiv w:val="1"/>
      <w:marLeft w:val="0"/>
      <w:marRight w:val="0"/>
      <w:marTop w:val="0"/>
      <w:marBottom w:val="0"/>
      <w:divBdr>
        <w:top w:val="none" w:sz="0" w:space="0" w:color="auto"/>
        <w:left w:val="none" w:sz="0" w:space="0" w:color="auto"/>
        <w:bottom w:val="none" w:sz="0" w:space="0" w:color="auto"/>
        <w:right w:val="none" w:sz="0" w:space="0" w:color="auto"/>
      </w:divBdr>
      <w:divsChild>
        <w:div w:id="732435730">
          <w:marLeft w:val="0"/>
          <w:marRight w:val="0"/>
          <w:marTop w:val="0"/>
          <w:marBottom w:val="0"/>
          <w:divBdr>
            <w:top w:val="none" w:sz="0" w:space="0" w:color="auto"/>
            <w:left w:val="none" w:sz="0" w:space="0" w:color="auto"/>
            <w:bottom w:val="none" w:sz="0" w:space="0" w:color="auto"/>
            <w:right w:val="none" w:sz="0" w:space="0" w:color="auto"/>
          </w:divBdr>
          <w:divsChild>
            <w:div w:id="542984829">
              <w:marLeft w:val="0"/>
              <w:marRight w:val="0"/>
              <w:marTop w:val="0"/>
              <w:marBottom w:val="0"/>
              <w:divBdr>
                <w:top w:val="none" w:sz="0" w:space="0" w:color="auto"/>
                <w:left w:val="none" w:sz="0" w:space="0" w:color="auto"/>
                <w:bottom w:val="none" w:sz="0" w:space="0" w:color="auto"/>
                <w:right w:val="none" w:sz="0" w:space="0" w:color="auto"/>
              </w:divBdr>
              <w:divsChild>
                <w:div w:id="4167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yclic_guanosine_monophosphate" TargetMode="External"/><Relationship Id="rId18" Type="http://schemas.openxmlformats.org/officeDocument/2006/relationships/hyperlink" Target="http://en.wikipedia.org/wiki/Red_blood_cell" TargetMode="External"/><Relationship Id="rId26" Type="http://schemas.openxmlformats.org/officeDocument/2006/relationships/hyperlink" Target="http://en.wikipedia.org/wiki/Fibrinolysis" TargetMode="External"/><Relationship Id="rId3" Type="http://schemas.openxmlformats.org/officeDocument/2006/relationships/styles" Target="styles.xml"/><Relationship Id="rId21" Type="http://schemas.openxmlformats.org/officeDocument/2006/relationships/hyperlink" Target="http://en.wikipedia.org/wiki/Lysine" TargetMode="External"/><Relationship Id="rId34" Type="http://schemas.openxmlformats.org/officeDocument/2006/relationships/hyperlink" Target="https://en.wikipedia.org/wiki/Factor_XII" TargetMode="External"/><Relationship Id="rId7" Type="http://schemas.openxmlformats.org/officeDocument/2006/relationships/footnotes" Target="footnotes.xml"/><Relationship Id="rId12" Type="http://schemas.openxmlformats.org/officeDocument/2006/relationships/hyperlink" Target="http://en.wikipedia.org/wiki/Adenosine_diphosphate" TargetMode="External"/><Relationship Id="rId17" Type="http://schemas.openxmlformats.org/officeDocument/2006/relationships/hyperlink" Target="http://en.wikipedia.org/wiki/Platelets" TargetMode="External"/><Relationship Id="rId25" Type="http://schemas.openxmlformats.org/officeDocument/2006/relationships/hyperlink" Target="http://en.wikipedia.org/wiki/Plasmin" TargetMode="External"/><Relationship Id="rId33" Type="http://schemas.openxmlformats.org/officeDocument/2006/relationships/hyperlink" Target="https://en.wikipedia.org/wiki/Kallikrein" TargetMode="External"/><Relationship Id="rId2" Type="http://schemas.openxmlformats.org/officeDocument/2006/relationships/numbering" Target="numbering.xml"/><Relationship Id="rId16" Type="http://schemas.openxmlformats.org/officeDocument/2006/relationships/hyperlink" Target="http://en.wikipedia.org/wiki/Adenosine" TargetMode="External"/><Relationship Id="rId20" Type="http://schemas.openxmlformats.org/officeDocument/2006/relationships/hyperlink" Target="http://en.wikipedia.org/wiki/Amino_acid" TargetMode="External"/><Relationship Id="rId29" Type="http://schemas.openxmlformats.org/officeDocument/2006/relationships/hyperlink" Target="http://en.wikipedia.org/wiki/Fibr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yclic_adenosine_monophosphate" TargetMode="External"/><Relationship Id="rId24" Type="http://schemas.openxmlformats.org/officeDocument/2006/relationships/hyperlink" Target="http://en.wikipedia.org/wiki/Proteolytic" TargetMode="External"/><Relationship Id="rId32" Type="http://schemas.openxmlformats.org/officeDocument/2006/relationships/hyperlink" Target="https://en.wikipedia.org/wiki/Enzym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Statin" TargetMode="External"/><Relationship Id="rId23" Type="http://schemas.openxmlformats.org/officeDocument/2006/relationships/hyperlink" Target="http://en.wikipedia.org/wiki/Enzyme" TargetMode="External"/><Relationship Id="rId28" Type="http://schemas.openxmlformats.org/officeDocument/2006/relationships/hyperlink" Target="http://en.wikipedia.org/wiki/Plasmin" TargetMode="External"/><Relationship Id="rId36" Type="http://schemas.openxmlformats.org/officeDocument/2006/relationships/fontTable" Target="fontTable.xml"/><Relationship Id="rId10" Type="http://schemas.openxmlformats.org/officeDocument/2006/relationships/hyperlink" Target="http://en.wikipedia.org/wiki/Phosphodiesterase" TargetMode="External"/><Relationship Id="rId19" Type="http://schemas.openxmlformats.org/officeDocument/2006/relationships/hyperlink" Target="http://en.wikipedia.org/wiki/Endothelial_cell" TargetMode="External"/><Relationship Id="rId31" Type="http://schemas.openxmlformats.org/officeDocument/2006/relationships/hyperlink" Target="https://en.wikipedia.org/wiki/Tryps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Nitric_oxide" TargetMode="External"/><Relationship Id="rId22" Type="http://schemas.openxmlformats.org/officeDocument/2006/relationships/hyperlink" Target="http://en.wikipedia.org/wiki/Enzyme_inhibitor" TargetMode="External"/><Relationship Id="rId27" Type="http://schemas.openxmlformats.org/officeDocument/2006/relationships/hyperlink" Target="http://en.wikipedia.org/wiki/Antifibrinolytic" TargetMode="External"/><Relationship Id="rId30" Type="http://schemas.openxmlformats.org/officeDocument/2006/relationships/hyperlink" Target="http://en.wikipedia.org/wiki/Antifibrinolytic" TargetMode="External"/><Relationship Id="rId35" Type="http://schemas.openxmlformats.org/officeDocument/2006/relationships/hyperlink" Target="https://en.wikipedia.org/wiki/Aproti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EA12-37A1-4079-ADFD-56356F91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Haemonetics Corporation</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Ashby</dc:creator>
  <cp:lastModifiedBy>Steve McPherson</cp:lastModifiedBy>
  <cp:revision>2</cp:revision>
  <cp:lastPrinted>2013-09-18T00:46:00Z</cp:lastPrinted>
  <dcterms:created xsi:type="dcterms:W3CDTF">2015-06-23T17:16:00Z</dcterms:created>
  <dcterms:modified xsi:type="dcterms:W3CDTF">2015-06-23T17:16:00Z</dcterms:modified>
</cp:coreProperties>
</file>